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right="22" w:rightChars="7"/>
        <w:jc w:val="center"/>
        <w:rPr>
          <w:rFonts w:hint="default" w:ascii="Times New Roman" w:hAnsi="Times New Roman" w:eastAsia="方正小标宋简体" w:cs="Times New Roman"/>
          <w:sz w:val="32"/>
          <w:szCs w:val="32"/>
        </w:rPr>
      </w:pPr>
    </w:p>
    <w:p>
      <w:pPr>
        <w:widowControl/>
        <w:spacing w:line="600" w:lineRule="exact"/>
        <w:ind w:right="22" w:rightChars="7"/>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广东省线下无理由退货承诺指引</w:t>
      </w:r>
    </w:p>
    <w:p>
      <w:pPr>
        <w:pStyle w:val="15"/>
        <w:autoSpaceDN w:val="0"/>
        <w:spacing w:before="0" w:after="0" w:line="600" w:lineRule="exact"/>
        <w:jc w:val="center"/>
        <w:rPr>
          <w:rFonts w:hint="eastAsia" w:ascii="楷体_GB2312" w:hAnsi="楷体_GB2312" w:eastAsia="楷体_GB2312" w:cs="楷体_GB2312"/>
          <w:bCs/>
          <w:kern w:val="2"/>
          <w:sz w:val="32"/>
          <w:szCs w:val="32"/>
          <w:highlight w:val="none"/>
          <w:lang w:eastAsia="zh-CN"/>
        </w:rPr>
      </w:pPr>
      <w:r>
        <w:rPr>
          <w:rFonts w:hint="eastAsia" w:ascii="楷体_GB2312" w:hAnsi="楷体_GB2312" w:eastAsia="楷体_GB2312" w:cs="楷体_GB2312"/>
          <w:bCs/>
          <w:kern w:val="2"/>
          <w:sz w:val="32"/>
          <w:szCs w:val="32"/>
          <w:highlight w:val="none"/>
          <w:lang w:eastAsia="zh-CN"/>
        </w:rPr>
        <w:t>（</w:t>
      </w:r>
      <w:r>
        <w:rPr>
          <w:rFonts w:hint="eastAsia" w:ascii="楷体_GB2312" w:hAnsi="楷体_GB2312" w:eastAsia="楷体_GB2312" w:cs="楷体_GB2312"/>
          <w:bCs/>
          <w:kern w:val="2"/>
          <w:sz w:val="32"/>
          <w:szCs w:val="32"/>
          <w:highlight w:val="none"/>
          <w:lang w:val="en-US" w:eastAsia="zh-CN"/>
        </w:rPr>
        <w:t>修订稿</w:t>
      </w:r>
      <w:r>
        <w:rPr>
          <w:rFonts w:hint="eastAsia" w:ascii="楷体_GB2312" w:hAnsi="楷体_GB2312" w:eastAsia="楷体_GB2312" w:cs="楷体_GB2312"/>
          <w:bCs/>
          <w:kern w:val="2"/>
          <w:sz w:val="32"/>
          <w:szCs w:val="32"/>
          <w:highlight w:val="none"/>
          <w:lang w:eastAsia="zh-CN"/>
        </w:rPr>
        <w:t>）</w:t>
      </w:r>
      <w:bookmarkStart w:id="0" w:name="_GoBack"/>
      <w:bookmarkEnd w:id="0"/>
    </w:p>
    <w:p>
      <w:pPr>
        <w:spacing w:line="600" w:lineRule="exact"/>
        <w:rPr>
          <w:rFonts w:hint="eastAsia" w:ascii="楷体" w:hAnsi="楷体" w:eastAsia="楷体" w:cs="楷体"/>
          <w:highlight w:val="none"/>
        </w:rPr>
      </w:pPr>
    </w:p>
    <w:p>
      <w:pPr>
        <w:pStyle w:val="16"/>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第一章  总  则</w:t>
      </w:r>
    </w:p>
    <w:p>
      <w:pPr>
        <w:spacing w:line="600" w:lineRule="exact"/>
        <w:rPr>
          <w:rFonts w:hint="eastAsia" w:ascii="仿宋_GB2312" w:hAnsi="仿宋_GB2312" w:cs="仿宋_GB2312"/>
          <w:highlight w:val="none"/>
        </w:rPr>
      </w:pPr>
    </w:p>
    <w:p>
      <w:pPr>
        <w:spacing w:line="600" w:lineRule="exact"/>
        <w:ind w:firstLine="640"/>
        <w:rPr>
          <w:rFonts w:hint="eastAsia" w:ascii="仿宋_GB2312" w:hAnsi="仿宋_GB2312" w:cs="仿宋_GB2312"/>
          <w:color w:val="000000"/>
          <w:highlight w:val="none"/>
        </w:rPr>
      </w:pPr>
      <w:r>
        <w:rPr>
          <w:rFonts w:hint="eastAsia" w:ascii="仿宋_GB2312" w:hAnsi="仿宋_GB2312" w:cs="仿宋_GB2312"/>
          <w:b/>
          <w:bCs/>
          <w:highlight w:val="none"/>
        </w:rPr>
        <w:t>第一条</w:t>
      </w:r>
      <w:r>
        <w:rPr>
          <w:rFonts w:hint="eastAsia" w:ascii="仿宋_GB2312" w:hAnsi="仿宋_GB2312" w:cs="仿宋_GB2312"/>
          <w:highlight w:val="none"/>
        </w:rPr>
        <w:t xml:space="preserve">  为促进我省放心消费创建，提升消费环境，优化消费生态，释放消费潜力，</w:t>
      </w:r>
      <w:r>
        <w:rPr>
          <w:rFonts w:hint="eastAsia" w:ascii="仿宋_GB2312" w:hAnsi="仿宋_GB2312" w:cs="仿宋_GB2312"/>
          <w:color w:val="000000"/>
          <w:highlight w:val="none"/>
        </w:rPr>
        <w:t>根据</w:t>
      </w:r>
      <w:r>
        <w:rPr>
          <w:rFonts w:hint="eastAsia" w:ascii="仿宋_GB2312" w:hAnsi="仿宋_GB2312" w:eastAsia="仿宋_GB2312" w:cs="仿宋_GB2312"/>
          <w:highlight w:val="none"/>
        </w:rPr>
        <w:t>《消费者权益保护法》</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国家有关部委、省委省政府关于放心消费环境创建及消费者权益保护民生工程和民生实事文件精神</w:t>
      </w:r>
      <w:r>
        <w:rPr>
          <w:rFonts w:hint="eastAsia" w:ascii="仿宋_GB2312" w:hAnsi="仿宋_GB2312" w:cs="仿宋_GB2312"/>
          <w:color w:val="000000"/>
          <w:highlight w:val="none"/>
        </w:rPr>
        <w:t>，在全省倡导推行线下无理由退货承诺活动，并制定本指引。</w:t>
      </w:r>
    </w:p>
    <w:p>
      <w:pPr>
        <w:spacing w:line="600" w:lineRule="exact"/>
        <w:ind w:firstLine="640"/>
        <w:rPr>
          <w:rFonts w:hint="eastAsia" w:ascii="仿宋_GB2312" w:hAnsi="仿宋_GB2312" w:cs="仿宋_GB2312"/>
          <w:highlight w:val="none"/>
        </w:rPr>
      </w:pPr>
      <w:r>
        <w:rPr>
          <w:rFonts w:hint="eastAsia" w:ascii="仿宋_GB2312" w:hAnsi="仿宋_GB2312" w:cs="仿宋_GB2312"/>
          <w:b/>
          <w:bCs/>
          <w:highlight w:val="none"/>
        </w:rPr>
        <w:t>第二条</w:t>
      </w:r>
      <w:r>
        <w:rPr>
          <w:rFonts w:hint="eastAsia" w:ascii="仿宋_GB2312" w:hAnsi="仿宋_GB2312" w:cs="仿宋_GB2312"/>
          <w:highlight w:val="none"/>
        </w:rPr>
        <w:t xml:space="preserve">  本指引适用于我省行政区域内的线下无理由退货承诺活动。</w:t>
      </w:r>
    </w:p>
    <w:p>
      <w:pPr>
        <w:spacing w:line="600" w:lineRule="exact"/>
        <w:ind w:firstLine="640"/>
        <w:rPr>
          <w:rFonts w:hint="eastAsia" w:ascii="仿宋_GB2312" w:hAnsi="仿宋_GB2312" w:cs="仿宋_GB2312"/>
          <w:highlight w:val="none"/>
        </w:rPr>
      </w:pPr>
      <w:r>
        <w:rPr>
          <w:rFonts w:hint="eastAsia" w:ascii="仿宋_GB2312" w:hAnsi="仿宋_GB2312" w:cs="仿宋_GB2312"/>
          <w:highlight w:val="none"/>
        </w:rPr>
        <w:t>本指引所称线下，是指具有合法经营主体资格，且于线下为消费者提供商品</w:t>
      </w:r>
      <w:r>
        <w:rPr>
          <w:rFonts w:hint="eastAsia" w:ascii="仿宋_GB2312" w:hAnsi="仿宋_GB2312" w:cs="仿宋_GB2312"/>
          <w:highlight w:val="none"/>
          <w:lang w:val="en-US" w:eastAsia="zh-CN"/>
        </w:rPr>
        <w:t>或服务</w:t>
      </w:r>
      <w:r>
        <w:rPr>
          <w:rFonts w:hint="eastAsia" w:ascii="仿宋_GB2312" w:hAnsi="仿宋_GB2312" w:cs="仿宋_GB2312"/>
          <w:highlight w:val="none"/>
        </w:rPr>
        <w:t>的实体店。</w:t>
      </w:r>
    </w:p>
    <w:p>
      <w:pPr>
        <w:spacing w:line="600" w:lineRule="exact"/>
        <w:ind w:firstLine="640"/>
        <w:rPr>
          <w:rFonts w:hint="eastAsia" w:ascii="仿宋_GB2312" w:hAnsi="仿宋_GB2312" w:cs="仿宋_GB2312"/>
          <w:highlight w:val="none"/>
        </w:rPr>
      </w:pPr>
      <w:r>
        <w:rPr>
          <w:rFonts w:hint="eastAsia" w:ascii="仿宋_GB2312" w:hAnsi="仿宋_GB2312" w:cs="仿宋_GB2312"/>
          <w:highlight w:val="none"/>
        </w:rPr>
        <w:t>本指引所称的消费者，是指为生活消费需要购买、使用商品的个人。</w:t>
      </w:r>
    </w:p>
    <w:p>
      <w:pPr>
        <w:spacing w:line="600" w:lineRule="exact"/>
        <w:ind w:firstLine="640"/>
        <w:rPr>
          <w:rFonts w:hint="eastAsia" w:ascii="仿宋_GB2312" w:hAnsi="仿宋_GB2312" w:cs="仿宋_GB2312"/>
          <w:highlight w:val="none"/>
        </w:rPr>
      </w:pPr>
      <w:r>
        <w:rPr>
          <w:rFonts w:hint="eastAsia" w:ascii="仿宋_GB2312" w:hAnsi="仿宋_GB2312" w:cs="仿宋_GB2312"/>
          <w:b/>
          <w:bCs/>
          <w:highlight w:val="none"/>
        </w:rPr>
        <w:t>第三条</w:t>
      </w:r>
      <w:r>
        <w:rPr>
          <w:rFonts w:hint="eastAsia" w:ascii="仿宋_GB2312" w:hAnsi="仿宋_GB2312" w:cs="仿宋_GB2312"/>
          <w:highlight w:val="none"/>
        </w:rPr>
        <w:t xml:space="preserve">  线下无理由退货承诺秉持“自愿承诺，自主实施，承诺即受约束”的原则。</w:t>
      </w:r>
    </w:p>
    <w:p>
      <w:pPr>
        <w:spacing w:line="600" w:lineRule="exact"/>
        <w:rPr>
          <w:rFonts w:hint="eastAsia" w:ascii="仿宋_GB2312" w:hAnsi="仿宋_GB2312" w:cs="仿宋_GB2312"/>
          <w:highlight w:val="none"/>
        </w:rPr>
      </w:pPr>
    </w:p>
    <w:p>
      <w:pPr>
        <w:pStyle w:val="16"/>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第二章  无理由退货实施方式</w:t>
      </w:r>
    </w:p>
    <w:p>
      <w:pPr>
        <w:spacing w:line="600" w:lineRule="exact"/>
        <w:ind w:firstLine="643" w:firstLineChars="200"/>
        <w:jc w:val="center"/>
        <w:rPr>
          <w:rFonts w:hint="eastAsia" w:ascii="仿宋_GB2312" w:hAnsi="仿宋_GB2312" w:cs="仿宋_GB2312"/>
          <w:b/>
          <w:highlight w:val="none"/>
        </w:rPr>
      </w:pP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第四条</w:t>
      </w:r>
      <w:r>
        <w:rPr>
          <w:rFonts w:hint="eastAsia" w:ascii="仿宋_GB2312" w:hAnsi="仿宋_GB2312" w:cs="仿宋_GB2312"/>
          <w:highlight w:val="none"/>
        </w:rPr>
        <w:t xml:space="preserve">  实体店可根据自身实际条件及经营商品</w:t>
      </w:r>
      <w:r>
        <w:rPr>
          <w:rFonts w:hint="eastAsia" w:ascii="仿宋_GB2312" w:hAnsi="仿宋_GB2312" w:cs="仿宋_GB2312"/>
          <w:highlight w:val="none"/>
          <w:lang w:val="en-US" w:eastAsia="zh-CN"/>
        </w:rPr>
        <w:t>（服务）</w:t>
      </w:r>
      <w:r>
        <w:rPr>
          <w:rFonts w:hint="eastAsia" w:ascii="仿宋_GB2312" w:hAnsi="仿宋_GB2312" w:cs="仿宋_GB2312"/>
          <w:highlight w:val="none"/>
        </w:rPr>
        <w:t>属性，自行确定无理由退货的商品品种</w:t>
      </w:r>
      <w:r>
        <w:rPr>
          <w:rFonts w:hint="eastAsia" w:ascii="仿宋_GB2312" w:hAnsi="仿宋_GB2312" w:cs="仿宋_GB2312"/>
          <w:highlight w:val="none"/>
          <w:lang w:val="en-US" w:eastAsia="zh-CN"/>
        </w:rPr>
        <w:t>（服务类型）</w:t>
      </w:r>
      <w:r>
        <w:rPr>
          <w:rFonts w:hint="eastAsia" w:ascii="仿宋_GB2312" w:hAnsi="仿宋_GB2312" w:cs="仿宋_GB2312"/>
          <w:highlight w:val="none"/>
        </w:rPr>
        <w:t>、范围、时限等，但须做到：</w:t>
      </w:r>
    </w:p>
    <w:p>
      <w:pPr>
        <w:spacing w:line="600" w:lineRule="exact"/>
        <w:ind w:firstLine="640" w:firstLineChars="200"/>
        <w:rPr>
          <w:rFonts w:hint="eastAsia" w:ascii="仿宋_GB2312" w:hAnsi="仿宋_GB2312" w:cs="仿宋_GB2312"/>
          <w:highlight w:val="none"/>
        </w:rPr>
      </w:pPr>
      <w:r>
        <w:rPr>
          <w:rFonts w:hint="eastAsia" w:ascii="仿宋_GB2312" w:hAnsi="仿宋_GB2312" w:cs="仿宋_GB2312"/>
          <w:highlight w:val="none"/>
        </w:rPr>
        <w:t>（一）无理由退货时限不少于7日。</w:t>
      </w:r>
    </w:p>
    <w:p>
      <w:pPr>
        <w:spacing w:line="600" w:lineRule="exact"/>
        <w:rPr>
          <w:rFonts w:hint="eastAsia" w:ascii="仿宋_GB2312" w:hAnsi="仿宋_GB2312" w:cs="仿宋_GB2312"/>
          <w:highlight w:val="none"/>
        </w:rPr>
      </w:pPr>
      <w:r>
        <w:rPr>
          <w:rFonts w:hint="eastAsia" w:ascii="仿宋_GB2312" w:hAnsi="仿宋_GB2312" w:cs="仿宋_GB2312"/>
          <w:highlight w:val="none"/>
        </w:rPr>
        <w:t xml:space="preserve">    （二）将“无理由退货”标识和适用无理由退货商品品种</w:t>
      </w:r>
      <w:r>
        <w:rPr>
          <w:rFonts w:hint="eastAsia" w:ascii="仿宋_GB2312" w:hAnsi="仿宋_GB2312" w:cs="仿宋_GB2312"/>
          <w:highlight w:val="none"/>
          <w:lang w:val="en-US" w:eastAsia="zh-CN"/>
        </w:rPr>
        <w:t>（服务类型）</w:t>
      </w:r>
      <w:r>
        <w:rPr>
          <w:rFonts w:hint="eastAsia" w:ascii="仿宋_GB2312" w:hAnsi="仿宋_GB2312" w:cs="仿宋_GB2312"/>
          <w:highlight w:val="none"/>
        </w:rPr>
        <w:t>、范围、退货流程、时限以及相关细则说明，在营业场所醒目位置明示。</w:t>
      </w:r>
    </w:p>
    <w:p>
      <w:pPr>
        <w:spacing w:line="600" w:lineRule="exact"/>
        <w:rPr>
          <w:rFonts w:hint="eastAsia" w:ascii="仿宋_GB2312" w:hAnsi="仿宋_GB2312" w:cs="仿宋_GB2312"/>
          <w:highlight w:val="none"/>
        </w:rPr>
      </w:pPr>
      <w:r>
        <w:rPr>
          <w:rFonts w:hint="eastAsia" w:ascii="仿宋_GB2312" w:hAnsi="仿宋_GB2312" w:cs="仿宋_GB2312"/>
          <w:highlight w:val="none"/>
        </w:rPr>
        <w:t xml:space="preserve">    （三）将适用无理由退货商品和其他商品进行合理隔离摆放，并做好相关标记，方便消费者辨识。</w:t>
      </w:r>
    </w:p>
    <w:p>
      <w:pPr>
        <w:spacing w:line="600" w:lineRule="exact"/>
        <w:ind w:firstLine="640" w:firstLineChars="200"/>
        <w:rPr>
          <w:rFonts w:hint="eastAsia" w:ascii="仿宋_GB2312" w:hAnsi="仿宋_GB2312" w:cs="仿宋_GB2312"/>
          <w:highlight w:val="none"/>
        </w:rPr>
      </w:pPr>
      <w:r>
        <w:rPr>
          <w:rFonts w:hint="eastAsia" w:ascii="仿宋_GB2312" w:hAnsi="仿宋_GB2312" w:cs="仿宋_GB2312"/>
          <w:highlight w:val="none"/>
        </w:rPr>
        <w:t>（四）在销售商品</w:t>
      </w:r>
      <w:r>
        <w:rPr>
          <w:rFonts w:hint="eastAsia" w:ascii="仿宋_GB2312" w:hAnsi="仿宋_GB2312" w:cs="仿宋_GB2312"/>
          <w:highlight w:val="none"/>
          <w:lang w:val="en-US" w:eastAsia="zh-CN"/>
        </w:rPr>
        <w:t>（提供服务）</w:t>
      </w:r>
      <w:r>
        <w:rPr>
          <w:rFonts w:hint="eastAsia" w:ascii="仿宋_GB2312" w:hAnsi="仿宋_GB2312" w:cs="仿宋_GB2312"/>
          <w:highlight w:val="none"/>
        </w:rPr>
        <w:t>过程中主动向消费者告知无理由退货承诺，并详细说明无理由退货商品品种</w:t>
      </w:r>
      <w:r>
        <w:rPr>
          <w:rFonts w:hint="eastAsia" w:ascii="仿宋_GB2312" w:hAnsi="仿宋_GB2312" w:cs="仿宋_GB2312"/>
          <w:highlight w:val="none"/>
          <w:lang w:val="en-US" w:eastAsia="zh-CN"/>
        </w:rPr>
        <w:t>（服务类型）</w:t>
      </w:r>
      <w:r>
        <w:rPr>
          <w:rFonts w:hint="eastAsia" w:ascii="仿宋_GB2312" w:hAnsi="仿宋_GB2312" w:cs="仿宋_GB2312"/>
          <w:highlight w:val="none"/>
        </w:rPr>
        <w:t xml:space="preserve">、范围、时限、流程等注意事项。 </w:t>
      </w:r>
    </w:p>
    <w:p>
      <w:pPr>
        <w:spacing w:line="600" w:lineRule="exact"/>
        <w:ind w:firstLine="640" w:firstLineChars="200"/>
        <w:rPr>
          <w:rFonts w:hint="eastAsia" w:ascii="仿宋_GB2312" w:hAnsi="仿宋_GB2312" w:cs="仿宋_GB2312"/>
          <w:highlight w:val="none"/>
        </w:rPr>
      </w:pPr>
      <w:r>
        <w:rPr>
          <w:rFonts w:hint="eastAsia" w:ascii="仿宋_GB2312" w:hAnsi="仿宋_GB2312" w:cs="仿宋_GB2312"/>
          <w:highlight w:val="none"/>
        </w:rPr>
        <w:t>（</w:t>
      </w:r>
      <w:r>
        <w:rPr>
          <w:rFonts w:hint="eastAsia" w:ascii="仿宋_GB2312" w:hAnsi="仿宋_GB2312" w:cs="仿宋_GB2312"/>
          <w:highlight w:val="none"/>
          <w:lang w:val="en-US" w:eastAsia="zh-CN"/>
        </w:rPr>
        <w:t>五</w:t>
      </w:r>
      <w:r>
        <w:rPr>
          <w:rFonts w:hint="eastAsia" w:ascii="仿宋_GB2312" w:hAnsi="仿宋_GB2312" w:cs="仿宋_GB2312"/>
          <w:highlight w:val="none"/>
        </w:rPr>
        <w:t>）设置无理由退货受理专区，安排专人跟进，确保退货落实到位。</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第五条</w:t>
      </w:r>
      <w:r>
        <w:rPr>
          <w:rFonts w:hint="eastAsia" w:ascii="仿宋_GB2312" w:hAnsi="仿宋_GB2312" w:cs="仿宋_GB2312"/>
          <w:highlight w:val="none"/>
        </w:rPr>
        <w:t xml:space="preserve">  鼓励实体店作出高于以上要求，且更有利于提升消费者体验、提高消费粘合度的无理由退货承诺。</w:t>
      </w:r>
    </w:p>
    <w:p>
      <w:pPr>
        <w:spacing w:line="600" w:lineRule="exact"/>
        <w:rPr>
          <w:rFonts w:hint="eastAsia" w:ascii="仿宋_GB2312" w:hAnsi="仿宋_GB2312" w:cs="仿宋_GB2312"/>
          <w:highlight w:val="none"/>
        </w:rPr>
      </w:pPr>
    </w:p>
    <w:p>
      <w:pPr>
        <w:pStyle w:val="16"/>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第三章  无理由退货条件和程序</w:t>
      </w:r>
    </w:p>
    <w:p>
      <w:pPr>
        <w:spacing w:line="600" w:lineRule="exact"/>
        <w:ind w:firstLine="643" w:firstLineChars="200"/>
        <w:jc w:val="center"/>
        <w:rPr>
          <w:rFonts w:hint="eastAsia" w:ascii="仿宋_GB2312" w:hAnsi="仿宋_GB2312" w:cs="仿宋_GB2312"/>
          <w:b/>
          <w:highlight w:val="none"/>
        </w:rPr>
      </w:pP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第六条</w:t>
      </w:r>
      <w:r>
        <w:rPr>
          <w:rFonts w:hint="eastAsia" w:ascii="仿宋_GB2312" w:hAnsi="仿宋_GB2312" w:cs="仿宋_GB2312"/>
          <w:highlight w:val="none"/>
        </w:rPr>
        <w:t xml:space="preserve">  选择无理由退货的消费者，可在实体店承诺的期限内，凭购物发票或其他购物凭证向经营者提出退货。如发票或购物凭证遗失的，由消费者与经营者协商确认。</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第七条</w:t>
      </w:r>
      <w:r>
        <w:rPr>
          <w:rFonts w:hint="eastAsia" w:ascii="仿宋_GB2312" w:hAnsi="仿宋_GB2312" w:cs="仿宋_GB2312"/>
          <w:highlight w:val="none"/>
        </w:rPr>
        <w:t xml:space="preserve">  消费者退回的商品应当完好，不影响二次销售。</w:t>
      </w:r>
    </w:p>
    <w:p>
      <w:pPr>
        <w:spacing w:line="600" w:lineRule="exact"/>
        <w:ind w:firstLine="640" w:firstLineChars="200"/>
        <w:rPr>
          <w:rFonts w:hint="eastAsia" w:ascii="仿宋_GB2312" w:hAnsi="仿宋_GB2312" w:cs="仿宋_GB2312"/>
          <w:highlight w:val="none"/>
        </w:rPr>
      </w:pPr>
      <w:r>
        <w:rPr>
          <w:rFonts w:hint="eastAsia" w:ascii="仿宋_GB2312" w:hAnsi="仿宋_GB2312" w:cs="仿宋_GB2312"/>
          <w:highlight w:val="none"/>
        </w:rPr>
        <w:t>商品能够保持原有品质、功能、商品本身、配件、商标标识齐全的，视为商品完好。</w:t>
      </w:r>
    </w:p>
    <w:p>
      <w:pPr>
        <w:spacing w:line="600" w:lineRule="exact"/>
        <w:ind w:firstLine="640" w:firstLineChars="200"/>
        <w:rPr>
          <w:rFonts w:hint="eastAsia" w:ascii="仿宋_GB2312" w:hAnsi="仿宋_GB2312" w:cs="仿宋_GB2312"/>
          <w:highlight w:val="none"/>
        </w:rPr>
      </w:pPr>
      <w:r>
        <w:rPr>
          <w:rFonts w:hint="eastAsia" w:ascii="仿宋_GB2312" w:hAnsi="仿宋_GB2312" w:cs="仿宋_GB2312"/>
          <w:highlight w:val="none"/>
        </w:rPr>
        <w:t>消费者基于查验需要而打开商品包装，或者为确认商品的品质、功能而进行合理的调试不影响商品的完好。</w:t>
      </w:r>
    </w:p>
    <w:p>
      <w:pPr>
        <w:spacing w:line="600" w:lineRule="exact"/>
        <w:ind w:firstLine="643" w:firstLineChars="200"/>
        <w:rPr>
          <w:rFonts w:hint="eastAsia" w:ascii="仿宋_GB2312" w:hAnsi="仿宋_GB2312" w:cs="仿宋_GB2312"/>
          <w:highlight w:val="none"/>
          <w:u w:val="single"/>
        </w:rPr>
      </w:pPr>
      <w:r>
        <w:rPr>
          <w:rFonts w:hint="eastAsia" w:ascii="仿宋_GB2312" w:hAnsi="仿宋_GB2312" w:cs="仿宋_GB2312"/>
          <w:b/>
          <w:bCs/>
          <w:highlight w:val="none"/>
        </w:rPr>
        <w:t>第八条</w:t>
      </w:r>
      <w:r>
        <w:rPr>
          <w:rFonts w:hint="eastAsia" w:ascii="仿宋_GB2312" w:hAnsi="仿宋_GB2312" w:cs="仿宋_GB2312"/>
          <w:highlight w:val="none"/>
        </w:rPr>
        <w:t xml:space="preserve">  消费者退货时应将商品本身、配件、赠品、保修卡、说明书、发票、外包装等随同商品一并退回。如赠品不能一并退回，消费者应按照赠品实际价格向经营者支付价款，或与经营者协商确定。</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第九条</w:t>
      </w:r>
      <w:r>
        <w:rPr>
          <w:rFonts w:hint="eastAsia" w:ascii="仿宋_GB2312" w:hAnsi="仿宋_GB2312" w:cs="仿宋_GB2312"/>
          <w:highlight w:val="none"/>
        </w:rPr>
        <w:t xml:space="preserve">  实体店应当按消费者原支付方式返还商品价款。如有特殊情形，可以由经营者与消费者共同确认，双方协商确定返款方式。    </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第十条</w:t>
      </w:r>
      <w:r>
        <w:rPr>
          <w:rFonts w:hint="eastAsia" w:ascii="仿宋_GB2312" w:hAnsi="仿宋_GB2312" w:cs="仿宋_GB2312"/>
          <w:highlight w:val="none"/>
        </w:rPr>
        <w:t xml:space="preserve">  商品退回所产生的运费由消费者承担。实体店与消费者另有约定的，按照约定。</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第十一条</w:t>
      </w:r>
      <w:r>
        <w:rPr>
          <w:rFonts w:hint="eastAsia" w:ascii="仿宋_GB2312" w:hAnsi="仿宋_GB2312" w:cs="仿宋_GB2312"/>
          <w:highlight w:val="none"/>
        </w:rPr>
        <w:t xml:space="preserve">  在申请退货过程中，遇到消费纠纷的，消费者可向实体店内消费维权服务站提出调解请求，调解不成或实体店</w:t>
      </w:r>
      <w:r>
        <w:rPr>
          <w:rFonts w:hint="eastAsia" w:ascii="仿宋_GB2312" w:hAnsi="仿宋_GB2312" w:cs="仿宋_GB2312"/>
          <w:highlight w:val="none"/>
          <w:lang w:val="en-US" w:eastAsia="zh-CN"/>
        </w:rPr>
        <w:t>未</w:t>
      </w:r>
      <w:r>
        <w:rPr>
          <w:rFonts w:hint="eastAsia" w:ascii="仿宋_GB2312" w:hAnsi="仿宋_GB2312" w:cs="仿宋_GB2312"/>
          <w:highlight w:val="none"/>
        </w:rPr>
        <w:t>设立消费维权服务站的，可依法向相关行政部门、消委会提出消费申诉或投诉。</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第十二条</w:t>
      </w:r>
      <w:r>
        <w:rPr>
          <w:rFonts w:hint="eastAsia" w:ascii="仿宋_GB2312" w:hAnsi="仿宋_GB2312" w:cs="仿宋_GB2312"/>
          <w:highlight w:val="none"/>
        </w:rPr>
        <w:t xml:space="preserve">  消费者有权对实体店进行监督，若发现实体店未执行承诺或执行承诺不到位，可要求实体店改正，也可向消费者组织等有关部门反映，要求监督。</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第十三条</w:t>
      </w:r>
      <w:r>
        <w:rPr>
          <w:rFonts w:hint="eastAsia" w:ascii="仿宋_GB2312" w:hAnsi="仿宋_GB2312" w:cs="仿宋_GB2312"/>
          <w:highlight w:val="none"/>
        </w:rPr>
        <w:t xml:space="preserve">  消费者进行无理由退货，须遵循诚实信用原则，不得利用无理由退货谋取个人不当利益，不得实施“假意购买，恶意退货”“先使用后退货”等不当行为。</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第十四条</w:t>
      </w:r>
      <w:r>
        <w:rPr>
          <w:rFonts w:hint="eastAsia" w:ascii="仿宋_GB2312" w:hAnsi="仿宋_GB2312" w:cs="仿宋_GB2312"/>
          <w:highlight w:val="none"/>
        </w:rPr>
        <w:t xml:space="preserve">  实体店如果发现并能够证实消费者无理由退货时存在恶意情形，或有违诚实信用原则的，可以拒绝退货。</w:t>
      </w:r>
    </w:p>
    <w:p>
      <w:pPr>
        <w:spacing w:line="600" w:lineRule="exact"/>
        <w:ind w:firstLine="640" w:firstLineChars="200"/>
        <w:rPr>
          <w:rFonts w:hint="eastAsia" w:ascii="仿宋_GB2312" w:hAnsi="仿宋_GB2312" w:cs="仿宋_GB2312"/>
          <w:highlight w:val="none"/>
        </w:rPr>
      </w:pPr>
    </w:p>
    <w:p>
      <w:pPr>
        <w:pStyle w:val="16"/>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 xml:space="preserve"> 第四章  承诺参与方式</w:t>
      </w:r>
    </w:p>
    <w:p>
      <w:pPr>
        <w:spacing w:line="600" w:lineRule="exact"/>
        <w:ind w:firstLine="480" w:firstLineChars="150"/>
        <w:rPr>
          <w:rFonts w:hint="eastAsia" w:ascii="黑体" w:hAnsi="黑体" w:eastAsia="黑体" w:cs="黑体"/>
          <w:bCs/>
          <w:highlight w:val="none"/>
        </w:rPr>
      </w:pPr>
      <w:r>
        <w:rPr>
          <w:rFonts w:hint="eastAsia" w:ascii="黑体" w:hAnsi="黑体" w:eastAsia="黑体" w:cs="黑体"/>
          <w:bCs/>
          <w:highlight w:val="none"/>
        </w:rPr>
        <w:t xml:space="preserve"> </w:t>
      </w:r>
    </w:p>
    <w:p>
      <w:pPr>
        <w:spacing w:line="600" w:lineRule="exact"/>
        <w:ind w:firstLine="0" w:firstLineChars="0"/>
        <w:rPr>
          <w:rFonts w:hint="eastAsia" w:ascii="仿宋_GB2312" w:hAnsi="仿宋_GB2312" w:cs="仿宋_GB2312"/>
          <w:bCs/>
          <w:highlight w:val="none"/>
        </w:rPr>
      </w:pPr>
      <w:r>
        <w:rPr>
          <w:rFonts w:hint="eastAsia" w:ascii="仿宋_GB2312" w:hAnsi="仿宋_GB2312" w:cs="仿宋_GB2312"/>
          <w:b/>
          <w:highlight w:val="none"/>
        </w:rPr>
        <w:t xml:space="preserve">    第十五条  </w:t>
      </w:r>
      <w:r>
        <w:rPr>
          <w:rFonts w:hint="eastAsia" w:ascii="仿宋_GB2312" w:hAnsi="仿宋_GB2312" w:cs="仿宋_GB2312"/>
          <w:bCs/>
          <w:highlight w:val="none"/>
        </w:rPr>
        <w:t>线下无理由退货承诺活动由广东省消费者委员会</w:t>
      </w:r>
      <w:r>
        <w:rPr>
          <w:rFonts w:hint="eastAsia" w:ascii="仿宋_GB2312" w:hAnsi="仿宋_GB2312" w:cs="仿宋_GB2312"/>
          <w:bCs/>
          <w:highlight w:val="none"/>
          <w:lang w:eastAsia="zh-CN"/>
        </w:rPr>
        <w:t>（</w:t>
      </w:r>
      <w:r>
        <w:rPr>
          <w:rFonts w:hint="eastAsia" w:ascii="仿宋_GB2312" w:hAnsi="仿宋_GB2312" w:cs="仿宋_GB2312"/>
          <w:bCs/>
          <w:highlight w:val="none"/>
          <w:lang w:val="en-US" w:eastAsia="zh-CN"/>
        </w:rPr>
        <w:t>以下简称“省消委会”</w:t>
      </w:r>
      <w:r>
        <w:rPr>
          <w:rFonts w:hint="eastAsia" w:ascii="仿宋_GB2312" w:hAnsi="仿宋_GB2312" w:cs="仿宋_GB2312"/>
          <w:bCs/>
          <w:highlight w:val="none"/>
          <w:lang w:eastAsia="zh-CN"/>
        </w:rPr>
        <w:t>）</w:t>
      </w:r>
      <w:r>
        <w:rPr>
          <w:rFonts w:hint="eastAsia" w:ascii="仿宋_GB2312" w:hAnsi="仿宋_GB2312" w:cs="仿宋_GB2312"/>
          <w:bCs/>
          <w:highlight w:val="none"/>
        </w:rPr>
        <w:t>统筹指导，市、县（区）消委会联合当地行业协会（商会、联合会）具体组织实施。</w:t>
      </w:r>
    </w:p>
    <w:p>
      <w:pPr>
        <w:spacing w:line="600" w:lineRule="exact"/>
        <w:ind w:firstLine="320" w:firstLineChars="100"/>
        <w:rPr>
          <w:rFonts w:hint="eastAsia" w:ascii="仿宋_GB2312" w:hAnsi="仿宋_GB2312" w:cs="仿宋_GB2312"/>
          <w:bCs/>
          <w:highlight w:val="none"/>
        </w:rPr>
      </w:pPr>
      <w:r>
        <w:rPr>
          <w:rFonts w:hint="eastAsia" w:ascii="仿宋_GB2312" w:hAnsi="仿宋_GB2312" w:cs="仿宋_GB2312"/>
          <w:bCs/>
          <w:highlight w:val="none"/>
        </w:rPr>
        <w:t xml:space="preserve">  实体店参与无理由退货承诺可获“线下无理由退货承诺店”</w:t>
      </w:r>
      <w:r>
        <w:rPr>
          <w:rFonts w:hint="eastAsia" w:ascii="仿宋_GB2312" w:hAnsi="仿宋_GB2312" w:cs="仿宋_GB2312"/>
          <w:bCs/>
          <w:highlight w:val="none"/>
          <w:lang w:val="en-US" w:eastAsia="zh-CN"/>
        </w:rPr>
        <w:t>称号</w:t>
      </w:r>
      <w:r>
        <w:rPr>
          <w:rFonts w:hint="eastAsia" w:ascii="仿宋_GB2312" w:hAnsi="仿宋_GB2312" w:cs="仿宋_GB2312"/>
          <w:bCs/>
          <w:highlight w:val="none"/>
        </w:rPr>
        <w:t>。具体可</w:t>
      </w:r>
      <w:r>
        <w:rPr>
          <w:rFonts w:hint="eastAsia" w:ascii="仿宋_GB2312" w:hAnsi="仿宋_GB2312" w:eastAsia="仿宋_GB2312" w:cs="仿宋_GB2312"/>
          <w:highlight w:val="none"/>
        </w:rPr>
        <w:t>通过通过省消委会官方网站（www.gdcc315.cn)或微信小程序进行申报。也可直接向当地消委会申请</w:t>
      </w:r>
      <w:r>
        <w:rPr>
          <w:rFonts w:hint="eastAsia" w:ascii="仿宋_GB2312" w:hAnsi="仿宋_GB2312" w:cs="仿宋_GB2312"/>
          <w:highlight w:val="none"/>
          <w:lang w:eastAsia="zh-CN"/>
        </w:rPr>
        <w:t>，</w:t>
      </w:r>
      <w:r>
        <w:rPr>
          <w:rFonts w:hint="eastAsia" w:ascii="仿宋_GB2312" w:hAnsi="仿宋_GB2312" w:eastAsia="仿宋_GB2312" w:cs="仿宋_GB2312"/>
          <w:highlight w:val="none"/>
          <w:lang w:val="en-US" w:eastAsia="zh-CN"/>
        </w:rPr>
        <w:t>或通过</w:t>
      </w:r>
      <w:r>
        <w:rPr>
          <w:rFonts w:hint="eastAsia" w:ascii="仿宋_GB2312" w:hAnsi="仿宋_GB2312" w:cs="仿宋_GB2312"/>
          <w:bCs/>
          <w:highlight w:val="none"/>
        </w:rPr>
        <w:t>行业协会（商会、联合会）</w:t>
      </w:r>
      <w:r>
        <w:rPr>
          <w:rFonts w:hint="eastAsia" w:ascii="仿宋_GB2312" w:hAnsi="仿宋_GB2312" w:cs="仿宋_GB2312"/>
          <w:bCs/>
          <w:highlight w:val="none"/>
          <w:lang w:eastAsia="zh-CN"/>
        </w:rPr>
        <w:t>，</w:t>
      </w:r>
      <w:r>
        <w:rPr>
          <w:rFonts w:hint="eastAsia" w:ascii="仿宋_GB2312" w:hAnsi="仿宋_GB2312" w:eastAsia="仿宋_GB2312" w:cs="仿宋_GB2312"/>
          <w:highlight w:val="none"/>
          <w:lang w:val="en-US" w:eastAsia="zh-CN"/>
        </w:rPr>
        <w:t>所属街区（商圈）、农贸市场的管理单位集中</w:t>
      </w:r>
      <w:r>
        <w:rPr>
          <w:rFonts w:hint="eastAsia" w:ascii="仿宋_GB2312" w:hAnsi="仿宋_GB2312" w:eastAsia="仿宋_GB2312" w:cs="仿宋_GB2312"/>
          <w:highlight w:val="none"/>
        </w:rPr>
        <w:t>提出申请，提交申报材料</w:t>
      </w:r>
      <w:r>
        <w:rPr>
          <w:rFonts w:hint="eastAsia" w:ascii="仿宋_GB2312" w:hAnsi="仿宋_GB2312" w:cs="仿宋_GB2312"/>
          <w:bCs/>
          <w:highlight w:val="none"/>
        </w:rPr>
        <w:t>。</w:t>
      </w:r>
    </w:p>
    <w:p>
      <w:pPr>
        <w:pStyle w:val="20"/>
        <w:spacing w:line="600" w:lineRule="exact"/>
        <w:ind w:firstLine="63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
          <w:sz w:val="32"/>
          <w:szCs w:val="32"/>
          <w:highlight w:val="none"/>
        </w:rPr>
        <w:t>第十六条</w:t>
      </w:r>
      <w:r>
        <w:rPr>
          <w:rFonts w:hint="eastAsia" w:ascii="仿宋_GB2312" w:hAnsi="仿宋_GB2312" w:eastAsia="仿宋_GB2312" w:cs="仿宋_GB2312"/>
          <w:bCs/>
          <w:sz w:val="32"/>
          <w:szCs w:val="32"/>
          <w:highlight w:val="none"/>
        </w:rPr>
        <w:t xml:space="preserve">  </w:t>
      </w:r>
      <w:r>
        <w:rPr>
          <w:rFonts w:hint="eastAsia" w:ascii="仿宋" w:hAnsi="仿宋" w:eastAsia="仿宋" w:cs="仿宋"/>
          <w:bCs/>
          <w:sz w:val="32"/>
          <w:szCs w:val="32"/>
          <w:highlight w:val="none"/>
        </w:rPr>
        <w:t>实体店</w:t>
      </w:r>
      <w:r>
        <w:rPr>
          <w:rFonts w:hint="eastAsia" w:ascii="仿宋_GB2312" w:hAnsi="仿宋_GB2312" w:eastAsia="仿宋_GB2312" w:cs="仿宋_GB2312"/>
          <w:bCs/>
          <w:sz w:val="32"/>
          <w:szCs w:val="32"/>
          <w:highlight w:val="none"/>
        </w:rPr>
        <w:t>申请线下无理由退货承诺</w:t>
      </w:r>
      <w:r>
        <w:rPr>
          <w:rFonts w:hint="eastAsia" w:ascii="仿宋_GB2312" w:hAnsi="仿宋_GB2312" w:eastAsia="仿宋_GB2312" w:cs="仿宋_GB2312"/>
          <w:kern w:val="2"/>
          <w:sz w:val="32"/>
          <w:szCs w:val="32"/>
          <w:highlight w:val="none"/>
        </w:rPr>
        <w:t>须符合以下条件：</w:t>
      </w:r>
    </w:p>
    <w:p>
      <w:pPr>
        <w:pStyle w:val="20"/>
        <w:spacing w:line="600" w:lineRule="exact"/>
        <w:ind w:firstLine="63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（一）依法领取营业执照及相关行政许可；</w:t>
      </w:r>
    </w:p>
    <w:p>
      <w:pPr>
        <w:pStyle w:val="20"/>
        <w:spacing w:line="600" w:lineRule="exact"/>
        <w:ind w:firstLine="63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（二）有固定经营场所，并配备与经营规模相当的人员和设施；</w:t>
      </w:r>
    </w:p>
    <w:p>
      <w:pPr>
        <w:pStyle w:val="20"/>
        <w:spacing w:line="600" w:lineRule="exact"/>
        <w:ind w:firstLine="630"/>
        <w:jc w:val="both"/>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sz w:val="32"/>
          <w:szCs w:val="32"/>
          <w:highlight w:val="none"/>
        </w:rPr>
        <w:t>（三）经营项目面向消费者，且与人民群众</w:t>
      </w:r>
      <w:r>
        <w:rPr>
          <w:rFonts w:hint="eastAsia" w:ascii="仿宋_GB2312" w:hAnsi="仿宋_GB2312" w:eastAsia="仿宋_GB2312" w:cs="仿宋_GB2312"/>
          <w:color w:val="000000"/>
          <w:sz w:val="32"/>
          <w:szCs w:val="32"/>
          <w:highlight w:val="none"/>
        </w:rPr>
        <w:t>消费生活</w:t>
      </w:r>
      <w:r>
        <w:rPr>
          <w:rFonts w:hint="eastAsia" w:ascii="仿宋_GB2312" w:hAnsi="仿宋_GB2312" w:eastAsia="仿宋_GB2312" w:cs="仿宋_GB2312"/>
          <w:sz w:val="32"/>
          <w:szCs w:val="32"/>
          <w:highlight w:val="none"/>
        </w:rPr>
        <w:t>密切相关。</w:t>
      </w:r>
    </w:p>
    <w:p>
      <w:pPr>
        <w:spacing w:line="600" w:lineRule="exact"/>
        <w:ind w:firstLine="482" w:firstLineChars="150"/>
        <w:rPr>
          <w:rFonts w:hint="eastAsia" w:ascii="仿宋_GB2312" w:hAnsi="仿宋_GB2312" w:cs="仿宋_GB2312"/>
          <w:bCs/>
          <w:highlight w:val="none"/>
        </w:rPr>
      </w:pPr>
      <w:r>
        <w:rPr>
          <w:rFonts w:hint="eastAsia" w:ascii="仿宋_GB2312" w:hAnsi="仿宋_GB2312" w:cs="仿宋_GB2312"/>
          <w:b/>
          <w:bCs/>
          <w:color w:val="000000"/>
          <w:highlight w:val="none"/>
        </w:rPr>
        <w:t xml:space="preserve">第十七条  </w:t>
      </w:r>
      <w:r>
        <w:rPr>
          <w:rFonts w:hint="eastAsia" w:ascii="仿宋_GB2312" w:hAnsi="仿宋_GB2312" w:cs="仿宋_GB2312"/>
          <w:bCs/>
          <w:highlight w:val="none"/>
        </w:rPr>
        <w:t>实体店申请线下无理由退货承诺，需提供以下材料：</w:t>
      </w:r>
    </w:p>
    <w:p>
      <w:pPr>
        <w:spacing w:line="600" w:lineRule="exact"/>
        <w:ind w:firstLine="480" w:firstLineChars="150"/>
        <w:rPr>
          <w:rFonts w:hint="eastAsia" w:ascii="仿宋_GB2312" w:hAnsi="仿宋_GB2312" w:cs="仿宋_GB2312"/>
          <w:bCs/>
          <w:highlight w:val="none"/>
        </w:rPr>
      </w:pPr>
      <w:r>
        <w:rPr>
          <w:rFonts w:hint="eastAsia" w:ascii="仿宋_GB2312" w:hAnsi="仿宋_GB2312" w:cs="仿宋_GB2312"/>
          <w:bCs/>
          <w:highlight w:val="none"/>
        </w:rPr>
        <w:t>（一）真实有效的营业执照复印件；</w:t>
      </w:r>
    </w:p>
    <w:p>
      <w:pPr>
        <w:spacing w:line="600" w:lineRule="exact"/>
        <w:ind w:firstLine="480" w:firstLineChars="150"/>
        <w:rPr>
          <w:rFonts w:hint="eastAsia" w:ascii="仿宋_GB2312" w:hAnsi="仿宋_GB2312" w:cs="仿宋_GB2312"/>
          <w:bCs/>
          <w:highlight w:val="none"/>
        </w:rPr>
      </w:pPr>
      <w:r>
        <w:rPr>
          <w:rFonts w:hint="eastAsia" w:ascii="仿宋_GB2312" w:hAnsi="仿宋_GB2312" w:cs="仿宋_GB2312"/>
          <w:bCs/>
          <w:highlight w:val="none"/>
        </w:rPr>
        <w:t>（二）无理由退货承诺活动申请表（详见附件</w:t>
      </w:r>
      <w:r>
        <w:rPr>
          <w:rFonts w:hint="eastAsia" w:ascii="仿宋_GB2312" w:hAnsi="仿宋_GB2312" w:cs="仿宋_GB2312"/>
          <w:bCs/>
          <w:highlight w:val="none"/>
          <w:lang w:val="en-US" w:eastAsia="zh-CN"/>
        </w:rPr>
        <w:t>1</w:t>
      </w:r>
      <w:r>
        <w:rPr>
          <w:rFonts w:hint="eastAsia" w:ascii="仿宋_GB2312" w:hAnsi="仿宋_GB2312" w:cs="仿宋_GB2312"/>
          <w:bCs/>
          <w:highlight w:val="none"/>
        </w:rPr>
        <w:t>）。</w:t>
      </w:r>
    </w:p>
    <w:p>
      <w:pPr>
        <w:pStyle w:val="21"/>
        <w:rPr>
          <w:rFonts w:hint="eastAsia" w:ascii="仿宋_GB2312" w:hAnsi="仿宋_GB2312" w:eastAsia="仿宋_GB2312" w:cs="仿宋_GB2312"/>
          <w:b/>
          <w:bCs/>
          <w:color w:val="000000"/>
          <w:highlight w:val="none"/>
        </w:rPr>
      </w:pPr>
      <w:r>
        <w:rPr>
          <w:rFonts w:hint="eastAsia" w:ascii="仿宋_GB2312" w:hAnsi="仿宋_GB2312" w:eastAsia="仿宋_GB2312" w:cs="仿宋_GB2312"/>
          <w:highlight w:val="none"/>
          <w:lang w:val="en-US" w:eastAsia="zh-CN"/>
        </w:rPr>
        <w:t>如通过网络渠道申报，可直接在线填写相关信息，并上传证件扫描件。</w:t>
      </w:r>
      <w:r>
        <w:rPr>
          <w:rFonts w:hint="eastAsia" w:ascii="仿宋_GB2312" w:hAnsi="仿宋_GB2312" w:eastAsia="仿宋_GB2312" w:cs="仿宋_GB2312"/>
          <w:highlight w:val="none"/>
        </w:rPr>
        <w:t xml:space="preserve"> </w:t>
      </w:r>
    </w:p>
    <w:p>
      <w:pPr>
        <w:pStyle w:val="22"/>
        <w:snapToGrid/>
        <w:spacing w:line="600" w:lineRule="exact"/>
        <w:ind w:firstLine="643" w:firstLineChars="200"/>
        <w:rPr>
          <w:rFonts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rPr>
        <w:t>第十八条</w:t>
      </w:r>
      <w:r>
        <w:rPr>
          <w:rFonts w:hint="eastAsia" w:ascii="仿宋_GB2312" w:hAnsi="仿宋_GB2312" w:eastAsia="仿宋_GB2312" w:cs="仿宋_GB2312"/>
          <w:color w:val="000000"/>
          <w:highlight w:val="none"/>
        </w:rPr>
        <w:t xml:space="preserve">  行业协会（商会、联合会）</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highlight w:val="none"/>
          <w:lang w:val="en-US" w:eastAsia="zh-CN"/>
        </w:rPr>
        <w:t>街区（商圈）、农贸市场的管理单位</w:t>
      </w:r>
      <w:r>
        <w:rPr>
          <w:rFonts w:hint="eastAsia" w:ascii="仿宋_GB2312" w:hAnsi="仿宋_GB2312" w:eastAsia="仿宋_GB2312" w:cs="仿宋_GB2312"/>
          <w:color w:val="000000"/>
          <w:highlight w:val="none"/>
          <w:lang w:val="en-US" w:eastAsia="zh-CN"/>
        </w:rPr>
        <w:t>收集实体店材料进行集中</w:t>
      </w:r>
      <w:r>
        <w:rPr>
          <w:rFonts w:hint="eastAsia" w:ascii="仿宋_GB2312" w:hAnsi="仿宋_GB2312" w:eastAsia="仿宋_GB2312" w:cs="仿宋_GB2312"/>
          <w:color w:val="000000"/>
          <w:highlight w:val="none"/>
        </w:rPr>
        <w:t>申</w:t>
      </w:r>
      <w:r>
        <w:rPr>
          <w:rFonts w:hint="eastAsia" w:ascii="仿宋_GB2312" w:hAnsi="仿宋_GB2312" w:eastAsia="仿宋_GB2312" w:cs="仿宋_GB2312"/>
          <w:color w:val="000000"/>
          <w:highlight w:val="none"/>
          <w:lang w:val="en-US" w:eastAsia="zh-CN"/>
        </w:rPr>
        <w:t>报</w:t>
      </w:r>
      <w:r>
        <w:rPr>
          <w:rFonts w:hint="eastAsia" w:ascii="仿宋_GB2312" w:hAnsi="仿宋_GB2312" w:eastAsia="仿宋_GB2312" w:cs="仿宋_GB2312"/>
          <w:color w:val="000000"/>
          <w:highlight w:val="none"/>
        </w:rPr>
        <w:t>，</w:t>
      </w:r>
      <w:r>
        <w:rPr>
          <w:rFonts w:hint="eastAsia" w:ascii="仿宋_GB2312" w:hAnsi="仿宋_GB2312" w:eastAsia="仿宋_GB2312" w:cs="仿宋_GB2312"/>
          <w:color w:val="000000"/>
          <w:highlight w:val="none"/>
          <w:lang w:val="en-US" w:eastAsia="zh-CN"/>
        </w:rPr>
        <w:t>应</w:t>
      </w:r>
      <w:r>
        <w:rPr>
          <w:rFonts w:hint="eastAsia" w:ascii="仿宋_GB2312" w:hAnsi="仿宋_GB2312" w:eastAsia="仿宋_GB2312" w:cs="仿宋_GB2312"/>
          <w:color w:val="000000"/>
          <w:highlight w:val="none"/>
        </w:rPr>
        <w:t>对材料</w:t>
      </w:r>
      <w:r>
        <w:rPr>
          <w:rFonts w:hint="eastAsia" w:ascii="仿宋_GB2312" w:hAnsi="仿宋_GB2312" w:eastAsia="仿宋_GB2312" w:cs="仿宋_GB2312"/>
          <w:color w:val="000000"/>
          <w:highlight w:val="none"/>
          <w:lang w:val="en-US" w:eastAsia="zh-CN"/>
        </w:rPr>
        <w:t>的</w:t>
      </w:r>
      <w:r>
        <w:rPr>
          <w:rFonts w:hint="eastAsia" w:ascii="仿宋_GB2312" w:hAnsi="仿宋_GB2312" w:eastAsia="仿宋_GB2312" w:cs="仿宋_GB2312"/>
          <w:color w:val="000000"/>
          <w:highlight w:val="none"/>
        </w:rPr>
        <w:t>真实性进行</w:t>
      </w:r>
      <w:r>
        <w:rPr>
          <w:rFonts w:hint="default" w:ascii="仿宋_GB2312" w:hAnsi="仿宋_GB2312" w:eastAsia="仿宋_GB2312" w:cs="仿宋_GB2312"/>
          <w:color w:val="000000"/>
          <w:highlight w:val="none"/>
          <w:lang w:val="en-US"/>
        </w:rPr>
        <w:t>核对</w:t>
      </w:r>
      <w:r>
        <w:rPr>
          <w:rFonts w:hint="eastAsia" w:ascii="仿宋_GB2312" w:hAnsi="仿宋_GB2312" w:eastAsia="仿宋_GB2312" w:cs="仿宋_GB2312"/>
          <w:color w:val="000000"/>
          <w:highlight w:val="none"/>
        </w:rPr>
        <w:t>。核对通过后集中报当地消委会复核确定。消委会直接受理</w:t>
      </w:r>
      <w:r>
        <w:rPr>
          <w:rFonts w:hint="eastAsia" w:ascii="仿宋_GB2312" w:hAnsi="仿宋_GB2312" w:eastAsia="仿宋_GB2312" w:cs="仿宋_GB2312"/>
          <w:color w:val="000000"/>
          <w:highlight w:val="none"/>
          <w:lang w:val="en-US" w:eastAsia="zh-CN"/>
        </w:rPr>
        <w:t>实体店</w:t>
      </w:r>
      <w:r>
        <w:rPr>
          <w:rFonts w:hint="eastAsia" w:ascii="仿宋_GB2312" w:hAnsi="仿宋_GB2312" w:eastAsia="仿宋_GB2312" w:cs="仿宋_GB2312"/>
          <w:color w:val="000000"/>
          <w:highlight w:val="none"/>
        </w:rPr>
        <w:t>申请的，可委托行业协会或其所属街区（商圈）、农贸市场的管理单位进行核对，但须最后复核确定。</w:t>
      </w:r>
    </w:p>
    <w:p>
      <w:pPr>
        <w:pStyle w:val="22"/>
        <w:snapToGrid/>
        <w:spacing w:line="600" w:lineRule="exact"/>
        <w:ind w:firstLine="640"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复核确定核对通过后，</w:t>
      </w:r>
      <w:r>
        <w:rPr>
          <w:rFonts w:hint="eastAsia" w:ascii="仿宋_GB2312" w:hAnsi="仿宋_GB2312" w:eastAsia="仿宋_GB2312" w:cs="仿宋_GB2312"/>
          <w:color w:val="000000"/>
          <w:highlight w:val="none"/>
          <w:lang w:val="en-US" w:eastAsia="zh-CN"/>
        </w:rPr>
        <w:t>实体店即成为</w:t>
      </w:r>
      <w:r>
        <w:rPr>
          <w:rFonts w:hint="eastAsia" w:ascii="仿宋_GB2312" w:hAnsi="仿宋_GB2312" w:eastAsia="仿宋_GB2312" w:cs="仿宋_GB2312"/>
          <w:color w:val="000000"/>
          <w:highlight w:val="none"/>
        </w:rPr>
        <w:t>“线下无理由退货承诺店”</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在市、县（区）消委会</w:t>
      </w:r>
      <w:r>
        <w:rPr>
          <w:rFonts w:hint="eastAsia" w:ascii="仿宋_GB2312" w:hAnsi="仿宋_GB2312" w:eastAsia="仿宋_GB2312" w:cs="仿宋_GB2312"/>
          <w:color w:val="000000"/>
          <w:highlight w:val="none"/>
          <w:lang w:val="en-US" w:eastAsia="zh-CN"/>
        </w:rPr>
        <w:t>或</w:t>
      </w:r>
      <w:r>
        <w:rPr>
          <w:rFonts w:hint="eastAsia" w:ascii="仿宋_GB2312" w:hAnsi="仿宋_GB2312" w:eastAsia="仿宋_GB2312" w:cs="仿宋_GB2312"/>
          <w:color w:val="000000"/>
          <w:highlight w:val="none"/>
        </w:rPr>
        <w:t>行业协会（商会、联合会）指导下，制作“线下无理由退货承诺店”</w:t>
      </w:r>
      <w:r>
        <w:rPr>
          <w:rFonts w:hint="default" w:ascii="仿宋_GB2312" w:hAnsi="仿宋_GB2312" w:eastAsia="仿宋_GB2312" w:cs="仿宋_GB2312"/>
          <w:color w:val="000000"/>
          <w:highlight w:val="none"/>
          <w:lang w:val="en-US"/>
        </w:rPr>
        <w:t>公示牌</w:t>
      </w:r>
      <w:r>
        <w:rPr>
          <w:rFonts w:hint="eastAsia" w:ascii="仿宋_GB2312" w:hAnsi="仿宋_GB2312" w:eastAsia="仿宋_GB2312" w:cs="仿宋_GB2312"/>
          <w:color w:val="000000"/>
          <w:highlight w:val="none"/>
        </w:rPr>
        <w:t>（由省消委会提供统一模板，详见附件</w:t>
      </w:r>
      <w:r>
        <w:rPr>
          <w:rFonts w:hint="eastAsia" w:ascii="仿宋_GB2312" w:hAnsi="仿宋_GB2312" w:eastAsia="仿宋_GB2312" w:cs="仿宋_GB2312"/>
          <w:color w:val="000000"/>
          <w:highlight w:val="none"/>
          <w:lang w:val="en-US" w:eastAsia="zh-CN"/>
        </w:rPr>
        <w:t>2</w:t>
      </w:r>
      <w:r>
        <w:rPr>
          <w:rFonts w:hint="eastAsia" w:ascii="仿宋_GB2312" w:hAnsi="仿宋_GB2312" w:eastAsia="仿宋_GB2312" w:cs="仿宋_GB2312"/>
          <w:color w:val="000000"/>
          <w:highlight w:val="none"/>
        </w:rPr>
        <w:t>），在经营场所</w:t>
      </w:r>
      <w:r>
        <w:rPr>
          <w:rFonts w:hint="eastAsia" w:ascii="仿宋_GB2312" w:hAnsi="仿宋_GB2312" w:eastAsia="仿宋_GB2312" w:cs="仿宋_GB2312"/>
          <w:highlight w:val="none"/>
          <w:lang w:val="en-US" w:eastAsia="zh-CN"/>
        </w:rPr>
        <w:t>对外展示</w:t>
      </w:r>
      <w:r>
        <w:rPr>
          <w:rFonts w:hint="eastAsia" w:ascii="仿宋_GB2312" w:hAnsi="仿宋_GB2312" w:eastAsia="仿宋_GB2312" w:cs="仿宋_GB2312"/>
          <w:color w:val="000000"/>
          <w:highlight w:val="none"/>
        </w:rPr>
        <w:t>。</w:t>
      </w:r>
    </w:p>
    <w:p>
      <w:pPr>
        <w:pStyle w:val="22"/>
        <w:snapToGrid/>
        <w:spacing w:line="600" w:lineRule="exact"/>
        <w:ind w:firstLine="640"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公示牌材质、尺寸不限，由实体店自行制作，但须在显著位置展示，让消费者能够一目了然。</w:t>
      </w:r>
    </w:p>
    <w:p>
      <w:pPr>
        <w:pStyle w:val="22"/>
        <w:numPr>
          <w:ilvl w:val="0"/>
          <w:numId w:val="0"/>
        </w:numPr>
        <w:snapToGrid/>
        <w:spacing w:line="600" w:lineRule="exact"/>
        <w:ind w:firstLine="643"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rPr>
        <w:t>第十</w:t>
      </w:r>
      <w:r>
        <w:rPr>
          <w:rFonts w:hint="eastAsia" w:ascii="仿宋_GB2312" w:hAnsi="仿宋_GB2312" w:eastAsia="仿宋_GB2312" w:cs="仿宋_GB2312"/>
          <w:b/>
          <w:bCs/>
          <w:color w:val="000000"/>
          <w:highlight w:val="none"/>
          <w:lang w:val="en-US" w:eastAsia="zh-CN"/>
        </w:rPr>
        <w:t>九</w:t>
      </w:r>
      <w:r>
        <w:rPr>
          <w:rFonts w:hint="eastAsia" w:ascii="仿宋_GB2312" w:hAnsi="仿宋_GB2312" w:eastAsia="仿宋_GB2312" w:cs="仿宋_GB2312"/>
          <w:b/>
          <w:bCs/>
          <w:color w:val="000000"/>
          <w:highlight w:val="none"/>
        </w:rPr>
        <w:t xml:space="preserve">条 </w:t>
      </w:r>
      <w:r>
        <w:rPr>
          <w:rFonts w:hint="eastAsia" w:cs="仿宋"/>
          <w:highlight w:val="none"/>
        </w:rPr>
        <w:t xml:space="preserve"> “</w:t>
      </w:r>
      <w:r>
        <w:rPr>
          <w:rFonts w:hint="eastAsia" w:ascii="仿宋_GB2312" w:hAnsi="仿宋_GB2312" w:eastAsia="仿宋_GB2312" w:cs="仿宋_GB2312"/>
          <w:color w:val="000000"/>
          <w:highlight w:val="none"/>
        </w:rPr>
        <w:t>线下无理由退货承诺</w:t>
      </w:r>
      <w:r>
        <w:rPr>
          <w:rFonts w:hint="eastAsia" w:cs="仿宋"/>
          <w:highlight w:val="none"/>
        </w:rPr>
        <w:t>”</w:t>
      </w:r>
      <w:r>
        <w:rPr>
          <w:rFonts w:hint="eastAsia" w:cs="仿宋"/>
          <w:highlight w:val="none"/>
          <w:lang w:eastAsia="zh-CN"/>
        </w:rPr>
        <w:t>活动实行</w:t>
      </w:r>
      <w:r>
        <w:rPr>
          <w:rFonts w:hint="eastAsia" w:cs="仿宋"/>
          <w:highlight w:val="none"/>
          <w:lang w:val="en-US" w:eastAsia="zh-CN"/>
        </w:rPr>
        <w:t>动态管理</w:t>
      </w:r>
      <w:r>
        <w:rPr>
          <w:rFonts w:hint="eastAsia" w:cs="仿宋"/>
          <w:highlight w:val="none"/>
          <w:lang w:eastAsia="zh-CN"/>
        </w:rPr>
        <w:t>制</w:t>
      </w:r>
      <w:r>
        <w:rPr>
          <w:rStyle w:val="31"/>
          <w:highlight w:val="none"/>
        </w:rPr>
        <w:t>。</w:t>
      </w:r>
      <w:r>
        <w:rPr>
          <w:rFonts w:hint="eastAsia" w:ascii="仿宋_GB2312" w:hAnsi="仿宋_GB2312" w:eastAsia="仿宋_GB2312" w:cs="仿宋_GB2312"/>
          <w:color w:val="000000"/>
          <w:highlight w:val="none"/>
        </w:rPr>
        <w:t>市、县（区）消委会</w:t>
      </w:r>
      <w:r>
        <w:rPr>
          <w:rFonts w:hint="eastAsia" w:ascii="仿宋_GB2312" w:hAnsi="仿宋_GB2312" w:eastAsia="仿宋_GB2312" w:cs="仿宋_GB2312"/>
          <w:color w:val="000000"/>
          <w:highlight w:val="none"/>
          <w:lang w:val="en-US" w:eastAsia="zh-CN"/>
        </w:rPr>
        <w:t>应加强对承诺店的日常业务指导，不定期开展履行承诺情况抽查，及时确认更新承诺信息。</w:t>
      </w:r>
    </w:p>
    <w:p>
      <w:pPr>
        <w:pStyle w:val="22"/>
        <w:snapToGrid/>
        <w:spacing w:line="600" w:lineRule="exact"/>
        <w:ind w:firstLine="643"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rPr>
        <w:t>第</w:t>
      </w:r>
      <w:r>
        <w:rPr>
          <w:rFonts w:hint="eastAsia" w:ascii="仿宋_GB2312" w:hAnsi="仿宋_GB2312" w:eastAsia="仿宋_GB2312" w:cs="仿宋_GB2312"/>
          <w:b/>
          <w:bCs/>
          <w:color w:val="000000"/>
          <w:highlight w:val="none"/>
          <w:lang w:val="en-US" w:eastAsia="zh-CN"/>
        </w:rPr>
        <w:t>二十</w:t>
      </w:r>
      <w:r>
        <w:rPr>
          <w:rFonts w:hint="eastAsia" w:ascii="仿宋_GB2312" w:hAnsi="仿宋_GB2312" w:eastAsia="仿宋_GB2312" w:cs="仿宋_GB2312"/>
          <w:b/>
          <w:bCs/>
          <w:color w:val="000000"/>
          <w:highlight w:val="none"/>
        </w:rPr>
        <w:t xml:space="preserve">条  </w:t>
      </w:r>
      <w:r>
        <w:rPr>
          <w:rFonts w:hint="eastAsia" w:ascii="仿宋_GB2312" w:hAnsi="仿宋_GB2312" w:eastAsia="仿宋_GB2312" w:cs="仿宋_GB2312"/>
          <w:color w:val="000000"/>
          <w:highlight w:val="none"/>
        </w:rPr>
        <w:t>全省统一在每年3·15国际消费者权益纪念日前以各种形式进行集中式宣传。</w:t>
      </w:r>
    </w:p>
    <w:p>
      <w:pPr>
        <w:pStyle w:val="22"/>
        <w:snapToGrid/>
        <w:spacing w:line="600" w:lineRule="exact"/>
        <w:ind w:firstLineChars="0"/>
        <w:rPr>
          <w:rFonts w:hint="eastAsia"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rPr>
        <w:t>第二十</w:t>
      </w:r>
      <w:r>
        <w:rPr>
          <w:rFonts w:hint="eastAsia" w:ascii="仿宋_GB2312" w:hAnsi="仿宋_GB2312" w:eastAsia="仿宋_GB2312" w:cs="仿宋_GB2312"/>
          <w:b/>
          <w:bCs/>
          <w:color w:val="000000"/>
          <w:highlight w:val="none"/>
          <w:lang w:val="en-US" w:eastAsia="zh-CN"/>
        </w:rPr>
        <w:t>一</w:t>
      </w:r>
      <w:r>
        <w:rPr>
          <w:rFonts w:hint="eastAsia" w:ascii="仿宋_GB2312" w:hAnsi="仿宋_GB2312" w:eastAsia="仿宋_GB2312" w:cs="仿宋_GB2312"/>
          <w:b/>
          <w:bCs/>
          <w:color w:val="000000"/>
          <w:highlight w:val="none"/>
        </w:rPr>
        <w:t>条</w:t>
      </w:r>
      <w:r>
        <w:rPr>
          <w:rFonts w:hint="eastAsia" w:ascii="仿宋_GB2312" w:hAnsi="仿宋_GB2312" w:eastAsia="仿宋_GB2312" w:cs="仿宋_GB2312"/>
          <w:color w:val="000000"/>
          <w:highlight w:val="none"/>
        </w:rPr>
        <w:t xml:space="preserve">  省消委会在官方网站“</w:t>
      </w:r>
      <w:r>
        <w:rPr>
          <w:rFonts w:hint="eastAsia" w:ascii="仿宋_GB2312" w:hAnsi="仿宋_GB2312" w:eastAsia="仿宋_GB2312" w:cs="仿宋_GB2312"/>
          <w:color w:val="000000"/>
          <w:highlight w:val="none"/>
          <w:lang w:val="en-US" w:eastAsia="zh-CN"/>
        </w:rPr>
        <w:t>广东</w:t>
      </w:r>
      <w:r>
        <w:rPr>
          <w:rFonts w:hint="eastAsia" w:ascii="仿宋_GB2312" w:hAnsi="仿宋_GB2312" w:eastAsia="仿宋_GB2312" w:cs="仿宋_GB2312"/>
          <w:color w:val="000000"/>
          <w:highlight w:val="none"/>
        </w:rPr>
        <w:t>放心消费</w:t>
      </w:r>
      <w:r>
        <w:rPr>
          <w:rFonts w:hint="eastAsia" w:ascii="仿宋_GB2312" w:hAnsi="仿宋_GB2312" w:eastAsia="仿宋_GB2312" w:cs="仿宋_GB2312"/>
          <w:color w:val="000000"/>
          <w:highlight w:val="none"/>
          <w:lang w:val="en-US" w:eastAsia="zh-CN"/>
        </w:rPr>
        <w:t>创建</w:t>
      </w:r>
      <w:r>
        <w:rPr>
          <w:rFonts w:hint="eastAsia" w:ascii="仿宋_GB2312" w:hAnsi="仿宋_GB2312" w:eastAsia="仿宋_GB2312" w:cs="仿宋_GB2312"/>
          <w:color w:val="000000"/>
          <w:highlight w:val="none"/>
        </w:rPr>
        <w:t>”专栏，</w:t>
      </w:r>
      <w:r>
        <w:rPr>
          <w:rFonts w:hint="eastAsia" w:ascii="仿宋_GB2312" w:hAnsi="仿宋_GB2312" w:eastAsia="仿宋_GB2312" w:cs="仿宋_GB2312"/>
          <w:color w:val="000000"/>
          <w:highlight w:val="none"/>
          <w:lang w:val="en-US" w:eastAsia="zh-CN"/>
        </w:rPr>
        <w:t>以及</w:t>
      </w:r>
      <w:r>
        <w:rPr>
          <w:rFonts w:hint="eastAsia" w:ascii="仿宋_GB2312" w:hAnsi="仿宋_GB2312" w:eastAsia="仿宋_GB2312" w:cs="仿宋_GB2312"/>
          <w:color w:val="000000"/>
          <w:highlight w:val="none"/>
        </w:rPr>
        <w:t>微信</w:t>
      </w:r>
      <w:r>
        <w:rPr>
          <w:rFonts w:hint="eastAsia" w:ascii="仿宋_GB2312" w:hAnsi="仿宋_GB2312" w:eastAsia="仿宋_GB2312" w:cs="仿宋_GB2312"/>
          <w:color w:val="000000"/>
          <w:highlight w:val="none"/>
          <w:lang w:val="en-US" w:eastAsia="zh-CN"/>
        </w:rPr>
        <w:t>小程序对线下无理由退货承诺店</w:t>
      </w:r>
      <w:r>
        <w:rPr>
          <w:rFonts w:hint="eastAsia" w:ascii="仿宋_GB2312" w:hAnsi="仿宋_GB2312" w:eastAsia="仿宋_GB2312" w:cs="仿宋_GB2312"/>
          <w:color w:val="000000"/>
          <w:highlight w:val="none"/>
        </w:rPr>
        <w:t>进行集中公示</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宣传</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监督。</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第二十</w:t>
      </w:r>
      <w:r>
        <w:rPr>
          <w:rFonts w:hint="eastAsia" w:ascii="仿宋_GB2312" w:hAnsi="仿宋_GB2312" w:cs="仿宋_GB2312"/>
          <w:b/>
          <w:bCs/>
          <w:highlight w:val="none"/>
          <w:lang w:val="en-US" w:eastAsia="zh-CN"/>
        </w:rPr>
        <w:t>二</w:t>
      </w:r>
      <w:r>
        <w:rPr>
          <w:rFonts w:hint="eastAsia" w:ascii="仿宋_GB2312" w:hAnsi="仿宋_GB2312" w:cs="仿宋_GB2312"/>
          <w:b/>
          <w:bCs/>
          <w:highlight w:val="none"/>
        </w:rPr>
        <w:t xml:space="preserve">条  </w:t>
      </w:r>
      <w:r>
        <w:rPr>
          <w:rFonts w:hint="eastAsia" w:ascii="仿宋_GB2312" w:hAnsi="仿宋_GB2312" w:cs="仿宋_GB2312"/>
          <w:highlight w:val="none"/>
        </w:rPr>
        <w:t>线下无理由退货承诺内容发生变化，或因自身经营发展需要或结业等原因要求退出承诺店，应向受理单位提交申请，进行内容变更或</w:t>
      </w:r>
      <w:r>
        <w:rPr>
          <w:rFonts w:hint="eastAsia" w:ascii="仿宋_GB2312" w:hAnsi="仿宋_GB2312" w:cs="仿宋_GB2312"/>
          <w:highlight w:val="none"/>
          <w:lang w:val="en-US" w:eastAsia="zh-CN"/>
        </w:rPr>
        <w:t>退出</w:t>
      </w:r>
      <w:r>
        <w:rPr>
          <w:rFonts w:hint="eastAsia" w:ascii="仿宋_GB2312" w:hAnsi="仿宋_GB2312" w:cs="仿宋_GB2312"/>
          <w:highlight w:val="none"/>
        </w:rPr>
        <w:t>处理，各级消委会应及时</w:t>
      </w:r>
      <w:r>
        <w:rPr>
          <w:rFonts w:hint="eastAsia" w:ascii="仿宋_GB2312" w:hAnsi="仿宋_GB2312" w:eastAsia="仿宋_GB2312" w:cs="仿宋_GB2312"/>
          <w:color w:val="000000"/>
          <w:highlight w:val="none"/>
          <w:lang w:val="en-US" w:eastAsia="zh-CN"/>
        </w:rPr>
        <w:t>在放心消费</w:t>
      </w:r>
      <w:r>
        <w:rPr>
          <w:rFonts w:hint="eastAsia" w:ascii="仿宋_GB2312" w:hAnsi="仿宋_GB2312" w:cs="仿宋_GB2312"/>
          <w:color w:val="000000"/>
          <w:highlight w:val="none"/>
          <w:lang w:val="en-US" w:eastAsia="zh-CN"/>
        </w:rPr>
        <w:t>创建公示</w:t>
      </w:r>
      <w:r>
        <w:rPr>
          <w:rFonts w:hint="eastAsia" w:ascii="仿宋_GB2312" w:hAnsi="仿宋_GB2312" w:eastAsia="仿宋_GB2312" w:cs="仿宋_GB2312"/>
          <w:color w:val="000000"/>
          <w:highlight w:val="none"/>
          <w:lang w:val="en-US" w:eastAsia="zh-CN"/>
        </w:rPr>
        <w:t>管理系统进行更新</w:t>
      </w:r>
      <w:r>
        <w:rPr>
          <w:rFonts w:hint="eastAsia" w:ascii="仿宋_GB2312" w:hAnsi="仿宋_GB2312" w:cs="仿宋_GB2312"/>
          <w:highlight w:val="none"/>
        </w:rPr>
        <w:t>。</w:t>
      </w:r>
    </w:p>
    <w:p>
      <w:pPr>
        <w:pStyle w:val="22"/>
        <w:snapToGrid/>
        <w:spacing w:line="600" w:lineRule="exact"/>
        <w:ind w:firstLine="643"/>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lang w:val="en-US" w:eastAsia="zh-CN"/>
        </w:rPr>
        <w:t xml:space="preserve">第十八第  </w:t>
      </w:r>
      <w:r>
        <w:rPr>
          <w:rFonts w:hint="eastAsia" w:ascii="仿宋_GB2312" w:hAnsi="仿宋_GB2312" w:eastAsia="仿宋_GB2312" w:cs="仿宋_GB2312"/>
          <w:b w:val="0"/>
          <w:bCs w:val="0"/>
          <w:color w:val="000000"/>
          <w:highlight w:val="none"/>
          <w:lang w:val="en-US" w:eastAsia="zh-CN"/>
        </w:rPr>
        <w:t>鼓励街区（商圈）、农贸市场的管理单位积极组织发动辖区内实体店参与线下无理由退货承诺。</w:t>
      </w:r>
    </w:p>
    <w:p>
      <w:pPr>
        <w:spacing w:line="600" w:lineRule="exact"/>
        <w:ind w:firstLine="480" w:firstLineChars="150"/>
        <w:rPr>
          <w:rFonts w:hint="eastAsia" w:ascii="仿宋_GB2312" w:hAnsi="仿宋_GB2312" w:cs="仿宋_GB2312"/>
          <w:highlight w:val="none"/>
        </w:rPr>
      </w:pPr>
    </w:p>
    <w:p>
      <w:pPr>
        <w:pStyle w:val="16"/>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第五章  监督指导</w:t>
      </w:r>
    </w:p>
    <w:p>
      <w:pPr>
        <w:spacing w:line="600" w:lineRule="exact"/>
        <w:ind w:firstLine="643" w:firstLineChars="200"/>
        <w:rPr>
          <w:rFonts w:hint="eastAsia" w:ascii="仿宋_GB2312" w:hAnsi="仿宋_GB2312" w:cs="仿宋_GB2312"/>
          <w:b/>
          <w:bCs/>
          <w:highlight w:val="none"/>
        </w:rPr>
      </w:pP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第二十二条</w:t>
      </w:r>
      <w:r>
        <w:rPr>
          <w:rFonts w:hint="eastAsia" w:ascii="仿宋_GB2312" w:hAnsi="仿宋_GB2312" w:cs="仿宋_GB2312"/>
          <w:highlight w:val="none"/>
        </w:rPr>
        <w:t xml:space="preserve">  线下无理由退货承诺由消费者组织、行业协会、社会各界和广大消费者负责监督。</w:t>
      </w:r>
    </w:p>
    <w:p>
      <w:pPr>
        <w:spacing w:line="600" w:lineRule="exact"/>
        <w:ind w:firstLine="640" w:firstLineChars="200"/>
        <w:rPr>
          <w:rFonts w:hint="eastAsia" w:ascii="仿宋_GB2312" w:hAnsi="仿宋_GB2312" w:cs="仿宋_GB2312"/>
          <w:highlight w:val="none"/>
        </w:rPr>
      </w:pPr>
      <w:r>
        <w:rPr>
          <w:rFonts w:hint="eastAsia" w:ascii="仿宋_GB2312" w:hAnsi="仿宋_GB2312" w:cs="仿宋_GB2312"/>
          <w:highlight w:val="none"/>
        </w:rPr>
        <w:t>社会各界和消费者若发现实体店未</w:t>
      </w:r>
      <w:r>
        <w:rPr>
          <w:rFonts w:hint="eastAsia" w:ascii="仿宋_GB2312" w:hAnsi="仿宋_GB2312" w:cs="仿宋_GB2312"/>
          <w:highlight w:val="none"/>
          <w:lang w:val="en-US" w:eastAsia="zh-CN"/>
        </w:rPr>
        <w:t>履</w:t>
      </w:r>
      <w:r>
        <w:rPr>
          <w:rFonts w:hint="eastAsia" w:ascii="仿宋_GB2312" w:hAnsi="仿宋_GB2312" w:cs="仿宋_GB2312"/>
          <w:highlight w:val="none"/>
        </w:rPr>
        <w:t>行承诺约定或执行不力，可向当地消费者委员会或</w:t>
      </w:r>
      <w:r>
        <w:rPr>
          <w:rFonts w:hint="eastAsia" w:ascii="仿宋_GB2312" w:hAnsi="仿宋_GB2312" w:eastAsia="仿宋_GB2312" w:cs="仿宋_GB2312"/>
          <w:bCs/>
          <w:highlight w:val="none"/>
          <w:lang w:val="en-US" w:eastAsia="zh-CN"/>
        </w:rPr>
        <w:t>通过</w:t>
      </w:r>
      <w:r>
        <w:rPr>
          <w:rFonts w:hint="eastAsia" w:ascii="仿宋_GB2312" w:hAnsi="仿宋_GB2312" w:eastAsia="仿宋_GB2312" w:cs="仿宋_GB2312"/>
          <w:color w:val="000000"/>
          <w:highlight w:val="none"/>
        </w:rPr>
        <w:t>省消委会官方网站</w:t>
      </w:r>
      <w:r>
        <w:rPr>
          <w:rFonts w:hint="eastAsia" w:ascii="仿宋_GB2312" w:hAnsi="仿宋_GB2312" w:cs="仿宋_GB2312"/>
          <w:color w:val="000000"/>
          <w:highlight w:val="none"/>
          <w:lang w:val="en-US" w:eastAsia="zh-CN"/>
        </w:rPr>
        <w:t>或</w:t>
      </w:r>
      <w:r>
        <w:rPr>
          <w:rFonts w:hint="eastAsia" w:ascii="仿宋_GB2312" w:hAnsi="仿宋_GB2312" w:eastAsia="仿宋_GB2312" w:cs="仿宋_GB2312"/>
          <w:color w:val="000000"/>
          <w:highlight w:val="none"/>
        </w:rPr>
        <w:t>微信</w:t>
      </w:r>
      <w:r>
        <w:rPr>
          <w:rFonts w:hint="eastAsia" w:ascii="仿宋_GB2312" w:hAnsi="仿宋_GB2312" w:eastAsia="仿宋_GB2312" w:cs="仿宋_GB2312"/>
          <w:color w:val="000000"/>
          <w:highlight w:val="none"/>
          <w:lang w:val="en-US" w:eastAsia="zh-CN"/>
        </w:rPr>
        <w:t>小程序进行</w:t>
      </w:r>
      <w:r>
        <w:rPr>
          <w:rFonts w:hint="eastAsia" w:ascii="仿宋_GB2312" w:hAnsi="仿宋_GB2312" w:eastAsia="仿宋_GB2312" w:cs="仿宋_GB2312"/>
          <w:bCs/>
          <w:highlight w:val="none"/>
        </w:rPr>
        <w:t>监督投诉</w:t>
      </w:r>
      <w:r>
        <w:rPr>
          <w:rFonts w:hint="eastAsia" w:ascii="仿宋_GB2312" w:hAnsi="仿宋_GB2312" w:cs="仿宋_GB2312"/>
          <w:highlight w:val="none"/>
        </w:rPr>
        <w:t>。</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第二十三条</w:t>
      </w:r>
      <w:r>
        <w:rPr>
          <w:rFonts w:hint="eastAsia" w:ascii="仿宋_GB2312" w:hAnsi="仿宋_GB2312" w:cs="仿宋_GB2312"/>
          <w:highlight w:val="none"/>
        </w:rPr>
        <w:t xml:space="preserve">  市、县（区）级消费者委员会对投诉反映问题，应及时进行调查核实（可委托第三方、县区消费者委员会进行调查或联合行业协会、商会等共同开展调查）。</w:t>
      </w:r>
    </w:p>
    <w:p>
      <w:pPr>
        <w:spacing w:line="600" w:lineRule="exact"/>
        <w:ind w:firstLine="640" w:firstLineChars="200"/>
        <w:rPr>
          <w:rFonts w:hint="eastAsia" w:ascii="仿宋_GB2312" w:hAnsi="仿宋_GB2312" w:cs="仿宋_GB2312"/>
          <w:highlight w:val="none"/>
        </w:rPr>
      </w:pPr>
      <w:r>
        <w:rPr>
          <w:rFonts w:hint="eastAsia" w:ascii="仿宋_GB2312" w:hAnsi="仿宋_GB2312" w:cs="仿宋_GB2312"/>
          <w:highlight w:val="none"/>
        </w:rPr>
        <w:t>情况属实的，进行督促告诫。督促告诫无效的，或一年内3次以上违反承诺的，进行摘牌（公示牌）、公示。</w:t>
      </w:r>
      <w:r>
        <w:rPr>
          <w:rFonts w:hint="eastAsia" w:ascii="仿宋_GB2312" w:hAnsi="仿宋_GB2312" w:cs="仿宋_GB2312"/>
          <w:b w:val="0"/>
          <w:bCs w:val="0"/>
          <w:highlight w:val="none"/>
        </w:rPr>
        <w:t xml:space="preserve">情节严重的推送列入“失信企业”名单。 </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第二十四条</w:t>
      </w:r>
      <w:r>
        <w:rPr>
          <w:rFonts w:hint="eastAsia" w:ascii="仿宋_GB2312" w:hAnsi="仿宋_GB2312" w:cs="仿宋_GB2312"/>
          <w:highlight w:val="none"/>
        </w:rPr>
        <w:t xml:space="preserve">  实体店对</w:t>
      </w:r>
      <w:r>
        <w:rPr>
          <w:rFonts w:hint="default" w:ascii="仿宋_GB2312" w:hAnsi="仿宋_GB2312" w:cs="仿宋_GB2312"/>
          <w:highlight w:val="none"/>
          <w:lang w:val="en-US"/>
        </w:rPr>
        <w:t>摘牌</w:t>
      </w:r>
      <w:r>
        <w:rPr>
          <w:rFonts w:hint="eastAsia" w:ascii="仿宋_GB2312" w:hAnsi="仿宋_GB2312" w:cs="仿宋_GB2312"/>
          <w:highlight w:val="none"/>
        </w:rPr>
        <w:t>不服的，可向省消委会申诉。省消委会成立裁决小组进行最终裁定。</w:t>
      </w:r>
    </w:p>
    <w:p>
      <w:pPr>
        <w:spacing w:line="600" w:lineRule="exact"/>
        <w:ind w:firstLine="643" w:firstLineChars="200"/>
        <w:rPr>
          <w:rFonts w:hint="eastAsia" w:ascii="仿宋_GB2312" w:hAnsi="仿宋_GB2312" w:cs="仿宋_GB2312"/>
          <w:highlight w:val="none"/>
        </w:rPr>
      </w:pPr>
      <w:r>
        <w:rPr>
          <w:rFonts w:hint="eastAsia" w:ascii="仿宋_GB2312" w:hAnsi="仿宋_GB2312" w:cs="仿宋_GB2312"/>
          <w:b/>
          <w:bCs/>
          <w:highlight w:val="none"/>
        </w:rPr>
        <w:t>第二十五条</w:t>
      </w:r>
      <w:r>
        <w:rPr>
          <w:rFonts w:hint="eastAsia" w:ascii="仿宋_GB2312" w:hAnsi="仿宋_GB2312" w:cs="仿宋_GB2312"/>
          <w:highlight w:val="none"/>
        </w:rPr>
        <w:t xml:space="preserve">  实体店被摘牌或者退出无理由退货承诺，须清除店内无理由退货标识和宣传资料，并不得再以“线下无理由退货承诺店”名义对外进行宣传。对于冒充该名义进行经营谋利的，则依据相关法律规定进行追究惩处。</w:t>
      </w:r>
    </w:p>
    <w:p>
      <w:pPr>
        <w:spacing w:line="600" w:lineRule="exact"/>
        <w:ind w:firstLine="640" w:firstLineChars="200"/>
        <w:rPr>
          <w:rFonts w:hint="eastAsia" w:ascii="仿宋_GB2312" w:hAnsi="仿宋_GB2312" w:cs="仿宋_GB2312"/>
          <w:highlight w:val="none"/>
        </w:rPr>
      </w:pPr>
    </w:p>
    <w:p>
      <w:pPr>
        <w:pStyle w:val="16"/>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第六章  附  则</w:t>
      </w:r>
    </w:p>
    <w:p>
      <w:pPr>
        <w:spacing w:line="600" w:lineRule="exact"/>
        <w:ind w:firstLine="636"/>
        <w:rPr>
          <w:rFonts w:hint="eastAsia" w:ascii="仿宋_GB2312" w:hAnsi="仿宋_GB2312" w:cs="仿宋_GB2312"/>
          <w:b/>
          <w:bCs/>
          <w:highlight w:val="none"/>
        </w:rPr>
      </w:pPr>
    </w:p>
    <w:p>
      <w:pPr>
        <w:spacing w:line="600" w:lineRule="exact"/>
        <w:ind w:firstLine="636"/>
        <w:rPr>
          <w:rFonts w:hint="eastAsia" w:ascii="仿宋_GB2312" w:hAnsi="仿宋_GB2312" w:cs="仿宋_GB2312"/>
          <w:highlight w:val="none"/>
        </w:rPr>
      </w:pPr>
      <w:r>
        <w:rPr>
          <w:rFonts w:hint="eastAsia" w:ascii="仿宋_GB2312" w:hAnsi="仿宋_GB2312" w:cs="仿宋_GB2312"/>
          <w:b/>
          <w:bCs/>
          <w:highlight w:val="none"/>
        </w:rPr>
        <w:t>第二十六条</w:t>
      </w:r>
      <w:r>
        <w:rPr>
          <w:rFonts w:hint="eastAsia" w:ascii="仿宋_GB2312" w:hAnsi="仿宋_GB2312" w:cs="仿宋_GB2312"/>
          <w:highlight w:val="none"/>
        </w:rPr>
        <w:t xml:space="preserve">  本指引由广东省消费者委员会制定并负责解释。</w:t>
      </w:r>
    </w:p>
    <w:p>
      <w:pPr>
        <w:spacing w:line="600" w:lineRule="exact"/>
        <w:ind w:firstLine="636"/>
        <w:rPr>
          <w:rFonts w:hint="eastAsia" w:ascii="仿宋_GB2312" w:hAnsi="仿宋_GB2312" w:cs="仿宋_GB2312"/>
          <w:highlight w:val="none"/>
        </w:rPr>
      </w:pPr>
      <w:r>
        <w:rPr>
          <w:rFonts w:hint="eastAsia" w:ascii="仿宋_GB2312" w:hAnsi="仿宋_GB2312" w:cs="仿宋_GB2312"/>
          <w:b/>
          <w:bCs/>
          <w:highlight w:val="none"/>
        </w:rPr>
        <w:t>第二十七条</w:t>
      </w:r>
      <w:r>
        <w:rPr>
          <w:rFonts w:hint="eastAsia" w:ascii="仿宋_GB2312" w:hAnsi="仿宋_GB2312" w:cs="仿宋_GB2312"/>
          <w:highlight w:val="none"/>
        </w:rPr>
        <w:t xml:space="preserve">  本指引自印发之日起生效。</w:t>
      </w:r>
    </w:p>
    <w:p>
      <w:pPr>
        <w:spacing w:line="600" w:lineRule="exact"/>
        <w:ind w:firstLine="636"/>
        <w:rPr>
          <w:rFonts w:hint="eastAsia" w:ascii="仿宋_GB2312" w:hAnsi="仿宋_GB2312" w:cs="仿宋_GB2312"/>
          <w:highlight w:val="none"/>
        </w:rPr>
      </w:pPr>
    </w:p>
    <w:p>
      <w:pPr>
        <w:pStyle w:val="26"/>
        <w:snapToGrid/>
        <w:spacing w:line="580" w:lineRule="exact"/>
        <w:rPr>
          <w:rFonts w:ascii="仿宋_GB2312" w:hAnsi="仿宋_GB2312" w:eastAsia="仿宋_GB2312" w:cs="仿宋_GB2312"/>
          <w:highlight w:val="none"/>
        </w:rPr>
      </w:pPr>
      <w:r>
        <w:rPr>
          <w:rFonts w:hint="eastAsia" w:ascii="仿宋_GB2312" w:hAnsi="仿宋_GB2312" w:eastAsia="仿宋_GB2312" w:cs="仿宋_GB2312"/>
          <w:highlight w:val="none"/>
        </w:rPr>
        <w:t>附件：</w:t>
      </w:r>
      <w:r>
        <w:rPr>
          <w:rFonts w:hint="eastAsia" w:ascii="仿宋_GB2312" w:hAnsi="仿宋_GB2312" w:eastAsia="仿宋_GB2312" w:cs="仿宋_GB2312"/>
          <w:highlight w:val="none"/>
          <w:lang w:val="en-US" w:eastAsia="zh-CN"/>
        </w:rPr>
        <w:t>1.</w:t>
      </w:r>
      <w:r>
        <w:rPr>
          <w:rFonts w:hint="eastAsia"/>
          <w:highlight w:val="none"/>
        </w:rPr>
        <w:t>“线下无理由退货承诺”申请表</w:t>
      </w:r>
    </w:p>
    <w:p>
      <w:pPr>
        <w:pStyle w:val="26"/>
        <w:snapToGrid/>
        <w:spacing w:line="580" w:lineRule="exact"/>
        <w:ind w:firstLine="1600" w:firstLineChars="500"/>
        <w:rPr>
          <w:rFonts w:hint="eastAsia" w:ascii="仿宋_GB2312" w:hAnsi="仿宋_GB2312" w:eastAsia="仿宋_GB2312" w:cs="仿宋_GB2312"/>
          <w:color w:val="000000"/>
          <w:highlight w:val="none"/>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color w:val="000000"/>
          <w:highlight w:val="none"/>
        </w:rPr>
        <w:t>线下无理由退货承诺店”</w:t>
      </w:r>
      <w:r>
        <w:rPr>
          <w:rFonts w:hint="default" w:ascii="仿宋_GB2312" w:hAnsi="仿宋_GB2312" w:eastAsia="仿宋_GB2312" w:cs="仿宋_GB2312"/>
          <w:color w:val="000000"/>
          <w:highlight w:val="none"/>
          <w:lang w:val="en-US"/>
        </w:rPr>
        <w:t>公示牌</w:t>
      </w:r>
      <w:r>
        <w:rPr>
          <w:rFonts w:hint="eastAsia" w:ascii="仿宋_GB2312" w:hAnsi="仿宋_GB2312" w:eastAsia="仿宋_GB2312" w:cs="仿宋_GB2312"/>
          <w:color w:val="000000"/>
          <w:highlight w:val="none"/>
        </w:rPr>
        <w:t>模板</w:t>
      </w:r>
    </w:p>
    <w:p>
      <w:pPr>
        <w:pStyle w:val="26"/>
        <w:snapToGrid/>
        <w:spacing w:line="580" w:lineRule="exact"/>
        <w:ind w:firstLine="0" w:firstLineChars="0"/>
        <w:rPr>
          <w:rFonts w:hint="eastAsia" w:ascii="仿宋_GB2312" w:hAnsi="仿宋_GB2312" w:eastAsia="仿宋_GB2312" w:cs="仿宋_GB2312"/>
          <w:color w:val="000000"/>
          <w:highlight w:val="none"/>
          <w:lang w:val="en-US" w:eastAsia="zh-CN"/>
        </w:rPr>
      </w:pPr>
      <w:r>
        <w:rPr>
          <w:rFonts w:hint="eastAsia" w:ascii="黑体" w:hAnsi="黑体" w:eastAsia="黑体" w:cs="黑体"/>
          <w:color w:val="000000"/>
          <w:highlight w:val="none"/>
          <w:lang w:val="en-US" w:eastAsia="zh-CN"/>
        </w:rPr>
        <w:t>附件</w:t>
      </w:r>
      <w:r>
        <w:rPr>
          <w:rFonts w:hint="default" w:ascii="Times New Roman" w:hAnsi="Times New Roman" w:eastAsia="仿宋_GB2312" w:cs="Times New Roman"/>
          <w:highlight w:val="none"/>
          <w:lang w:val="en-US" w:eastAsia="zh-CN"/>
        </w:rPr>
        <w:t>1</w:t>
      </w:r>
    </w:p>
    <w:p>
      <w:pPr>
        <w:pStyle w:val="3"/>
        <w:rPr>
          <w:rFonts w:hint="eastAsia"/>
          <w:highlight w:val="none"/>
        </w:rPr>
      </w:pPr>
      <w:r>
        <w:rPr>
          <w:rFonts w:hint="eastAsia"/>
          <w:highlight w:val="none"/>
        </w:rPr>
        <w:t>“线下无理由退货承诺”申请表</w:t>
      </w:r>
    </w:p>
    <w:p>
      <w:pPr>
        <w:ind w:firstLine="640"/>
        <w:rPr>
          <w:rFonts w:hint="eastAsia"/>
          <w:highlight w:val="none"/>
        </w:rPr>
      </w:pPr>
    </w:p>
    <w:tbl>
      <w:tblPr>
        <w:tblStyle w:val="10"/>
        <w:tblW w:w="9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19"/>
        <w:gridCol w:w="993"/>
        <w:gridCol w:w="2732"/>
        <w:gridCol w:w="1230"/>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2312" w:type="dxa"/>
            <w:gridSpan w:val="2"/>
            <w:noWrap w:val="0"/>
            <w:vAlign w:val="center"/>
          </w:tcPr>
          <w:p>
            <w:pPr>
              <w:widowControl/>
              <w:spacing w:line="300" w:lineRule="exact"/>
              <w:jc w:val="center"/>
              <w:textAlignment w:val="center"/>
              <w:rPr>
                <w:rFonts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经营者注册名称</w:t>
            </w:r>
          </w:p>
        </w:tc>
        <w:tc>
          <w:tcPr>
            <w:tcW w:w="6957" w:type="dxa"/>
            <w:gridSpan w:val="3"/>
            <w:noWrap w:val="0"/>
            <w:vAlign w:val="center"/>
          </w:tcPr>
          <w:p>
            <w:pPr>
              <w:widowControl/>
              <w:spacing w:line="300" w:lineRule="exact"/>
              <w:jc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2312" w:type="dxa"/>
            <w:gridSpan w:val="2"/>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统一社会信用代码</w:t>
            </w:r>
          </w:p>
        </w:tc>
        <w:tc>
          <w:tcPr>
            <w:tcW w:w="6957" w:type="dxa"/>
            <w:gridSpan w:val="3"/>
            <w:noWrap w:val="0"/>
            <w:vAlign w:val="center"/>
          </w:tcPr>
          <w:p>
            <w:pPr>
              <w:widowControl/>
              <w:spacing w:line="300" w:lineRule="exact"/>
              <w:jc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2312" w:type="dxa"/>
            <w:gridSpan w:val="2"/>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门店名称</w:t>
            </w:r>
          </w:p>
        </w:tc>
        <w:tc>
          <w:tcPr>
            <w:tcW w:w="6957" w:type="dxa"/>
            <w:gridSpan w:val="3"/>
            <w:noWrap w:val="0"/>
            <w:vAlign w:val="center"/>
          </w:tcPr>
          <w:p>
            <w:pPr>
              <w:widowControl/>
              <w:spacing w:line="300" w:lineRule="exact"/>
              <w:jc w:val="center"/>
              <w:rPr>
                <w:rFonts w:hint="eastAsia" w:ascii="仿宋_GB2312" w:hAnsi="等线" w:cs="仿宋_GB2312"/>
                <w:color w:val="000000"/>
                <w:sz w:val="28"/>
                <w:szCs w:val="28"/>
                <w:highlight w:val="none"/>
              </w:rPr>
            </w:pPr>
            <w:r>
              <w:rPr>
                <w:rFonts w:hint="eastAsia" w:ascii="仿宋_GB2312" w:hAnsi="等线" w:cs="仿宋_GB2312"/>
                <w:color w:val="000000"/>
                <w:sz w:val="21"/>
                <w:szCs w:val="21"/>
                <w:highlight w:val="none"/>
                <w:lang w:eastAsia="zh-CN"/>
              </w:rPr>
              <w:t>（</w:t>
            </w:r>
            <w:r>
              <w:rPr>
                <w:rFonts w:hint="eastAsia" w:ascii="仿宋_GB2312" w:hAnsi="等线" w:cs="仿宋_GB2312"/>
                <w:color w:val="000000"/>
                <w:sz w:val="21"/>
                <w:szCs w:val="21"/>
                <w:highlight w:val="none"/>
                <w:lang w:val="en-US" w:eastAsia="zh-CN"/>
              </w:rPr>
              <w:t>应与门店对外展示的招牌名称保持完全一致，如无招牌，则应合理描述</w:t>
            </w:r>
            <w:r>
              <w:rPr>
                <w:rFonts w:hint="eastAsia" w:ascii="仿宋_GB2312" w:hAnsi="等线" w:cs="仿宋_GB2312"/>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2312" w:type="dxa"/>
            <w:gridSpan w:val="2"/>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经营场所地址</w:t>
            </w:r>
          </w:p>
        </w:tc>
        <w:tc>
          <w:tcPr>
            <w:tcW w:w="6957"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r>
              <w:rPr>
                <w:rFonts w:hint="eastAsia" w:ascii="仿宋_GB2312" w:hAnsi="等线" w:cs="仿宋_GB2312"/>
                <w:color w:val="000000"/>
                <w:kern w:val="0"/>
                <w:sz w:val="28"/>
                <w:szCs w:val="28"/>
                <w:highlight w:val="none"/>
                <w:lang w:bidi="ar"/>
              </w:rPr>
              <w:t>广东省</w:t>
            </w:r>
            <w:r>
              <w:rPr>
                <w:rStyle w:val="28"/>
                <w:rFonts w:hint="default" w:hAnsi="等线"/>
                <w:highlight w:val="none"/>
                <w:lang w:bidi="ar"/>
              </w:rPr>
              <w:t xml:space="preserve">      </w:t>
            </w:r>
            <w:r>
              <w:rPr>
                <w:rStyle w:val="29"/>
                <w:rFonts w:hint="default" w:hAnsi="等线"/>
                <w:highlight w:val="none"/>
                <w:lang w:bidi="ar"/>
              </w:rPr>
              <w:t>市</w:t>
            </w:r>
            <w:r>
              <w:rPr>
                <w:rStyle w:val="28"/>
                <w:rFonts w:hint="default" w:hAnsi="等线"/>
                <w:highlight w:val="none"/>
                <w:lang w:bidi="ar"/>
              </w:rPr>
              <w:t xml:space="preserve">      </w:t>
            </w:r>
            <w:r>
              <w:rPr>
                <w:rStyle w:val="29"/>
                <w:rFonts w:hint="default" w:hAnsi="等线"/>
                <w:highlight w:val="none"/>
                <w:lang w:bidi="ar"/>
              </w:rPr>
              <w:t>县（区）</w:t>
            </w:r>
            <w:r>
              <w:rPr>
                <w:rStyle w:val="29"/>
                <w:rFonts w:hint="default" w:hAnsi="等线"/>
                <w:highlight w:val="none"/>
                <w:u w:val="single"/>
                <w:lang w:bidi="ar"/>
              </w:rPr>
              <w:t xml:space="preserve">            </w:t>
            </w:r>
            <w:r>
              <w:rPr>
                <w:rStyle w:val="29"/>
                <w:rFonts w:hint="default" w:ascii="楷体_GB2312" w:hAnsi="等线" w:eastAsia="楷体_GB2312"/>
                <w:highlight w:val="none"/>
                <w:lang w:bidi="ar"/>
              </w:rPr>
              <w:t>（详细地址）</w:t>
            </w:r>
            <w:r>
              <w:rPr>
                <w:rStyle w:val="29"/>
                <w:rFonts w:hint="default" w:hAnsi="等线"/>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1319" w:type="dxa"/>
            <w:vMerge w:val="restart"/>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经营类别</w:t>
            </w:r>
          </w:p>
        </w:tc>
        <w:tc>
          <w:tcPr>
            <w:tcW w:w="993" w:type="dxa"/>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商品类</w:t>
            </w:r>
          </w:p>
        </w:tc>
        <w:tc>
          <w:tcPr>
            <w:tcW w:w="6957"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r>
              <w:rPr>
                <w:rFonts w:hint="eastAsia" w:ascii="仿宋_GB2312" w:hAnsi="等线" w:cs="仿宋_GB2312"/>
                <w:color w:val="000000"/>
                <w:kern w:val="0"/>
                <w:sz w:val="28"/>
                <w:szCs w:val="28"/>
                <w:highlight w:val="none"/>
                <w:lang w:bidi="ar"/>
              </w:rPr>
              <w:t>□家用电子电器类  □服装鞋帽类  □食品类  □</w:t>
            </w:r>
            <w:r>
              <w:rPr>
                <w:rFonts w:hint="eastAsia" w:ascii="仿宋_GB2312" w:hAnsi="等线" w:cs="仿宋_GB2312"/>
                <w:color w:val="000000"/>
                <w:kern w:val="0"/>
                <w:sz w:val="28"/>
                <w:szCs w:val="28"/>
                <w:highlight w:val="none"/>
                <w:lang w:val="en-US" w:eastAsia="zh-CN" w:bidi="ar"/>
              </w:rPr>
              <w:t>肉菜生鲜类</w:t>
            </w:r>
            <w:r>
              <w:rPr>
                <w:rFonts w:hint="eastAsia" w:ascii="仿宋_GB2312" w:hAnsi="等线" w:cs="仿宋_GB2312"/>
                <w:color w:val="000000"/>
                <w:kern w:val="0"/>
                <w:sz w:val="28"/>
                <w:szCs w:val="28"/>
                <w:highlight w:val="none"/>
                <w:lang w:bidi="ar"/>
              </w:rPr>
              <w:t xml:space="preserve"> </w:t>
            </w:r>
            <w:r>
              <w:rPr>
                <w:rFonts w:ascii="仿宋_GB2312" w:hAnsi="等线" w:cs="仿宋_GB2312"/>
                <w:color w:val="000000"/>
                <w:kern w:val="0"/>
                <w:sz w:val="28"/>
                <w:szCs w:val="28"/>
                <w:highlight w:val="none"/>
                <w:lang w:bidi="ar"/>
              </w:rPr>
              <w:t xml:space="preserve"> </w:t>
            </w:r>
            <w:r>
              <w:rPr>
                <w:rFonts w:hint="eastAsia" w:ascii="仿宋_GB2312" w:hAnsi="等线" w:cs="仿宋_GB2312"/>
                <w:color w:val="000000"/>
                <w:kern w:val="0"/>
                <w:sz w:val="28"/>
                <w:szCs w:val="28"/>
                <w:highlight w:val="none"/>
                <w:lang w:bidi="ar"/>
              </w:rPr>
              <w:t xml:space="preserve">□烟、酒饮料类  □房屋及建材类  □日用商品类  □首饰及文体用品类  □医药及医疗用品类 </w:t>
            </w:r>
            <w:r>
              <w:rPr>
                <w:rFonts w:ascii="仿宋_GB2312" w:hAnsi="等线" w:cs="仿宋_GB2312"/>
                <w:color w:val="000000"/>
                <w:kern w:val="0"/>
                <w:sz w:val="28"/>
                <w:szCs w:val="28"/>
                <w:highlight w:val="none"/>
                <w:lang w:bidi="ar"/>
              </w:rPr>
              <w:t xml:space="preserve"> </w:t>
            </w:r>
            <w:r>
              <w:rPr>
                <w:rFonts w:hint="eastAsia" w:ascii="仿宋_GB2312" w:hAnsi="等线" w:cs="仿宋_GB2312"/>
                <w:color w:val="000000"/>
                <w:kern w:val="0"/>
                <w:sz w:val="28"/>
                <w:szCs w:val="28"/>
                <w:highlight w:val="none"/>
                <w:lang w:bidi="ar"/>
              </w:rPr>
              <w:t>□交通工具类  □农用生产资料类  □</w:t>
            </w:r>
            <w:r>
              <w:rPr>
                <w:rFonts w:hint="eastAsia" w:ascii="仿宋_GB2312" w:hAnsi="等线" w:cs="仿宋_GB2312"/>
                <w:color w:val="000000"/>
                <w:kern w:val="0"/>
                <w:sz w:val="28"/>
                <w:szCs w:val="28"/>
                <w:highlight w:val="none"/>
                <w:lang w:val="en-US" w:eastAsia="zh-CN" w:bidi="ar"/>
              </w:rPr>
              <w:t>其他商品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1319" w:type="dxa"/>
            <w:vMerge w:val="continue"/>
            <w:noWrap w:val="0"/>
            <w:vAlign w:val="center"/>
          </w:tcPr>
          <w:p>
            <w:pPr>
              <w:widowControl/>
              <w:spacing w:line="300" w:lineRule="exact"/>
              <w:jc w:val="center"/>
              <w:rPr>
                <w:rFonts w:hint="eastAsia" w:ascii="仿宋_GB2312" w:hAnsi="等线" w:cs="仿宋_GB2312"/>
                <w:b/>
                <w:color w:val="000000"/>
                <w:sz w:val="28"/>
                <w:szCs w:val="28"/>
                <w:highlight w:val="none"/>
              </w:rPr>
            </w:pPr>
          </w:p>
        </w:tc>
        <w:tc>
          <w:tcPr>
            <w:tcW w:w="993" w:type="dxa"/>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服务类</w:t>
            </w:r>
          </w:p>
        </w:tc>
        <w:tc>
          <w:tcPr>
            <w:tcW w:w="6957"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r>
              <w:rPr>
                <w:rFonts w:hint="eastAsia" w:ascii="仿宋_GB2312" w:hAnsi="等线" w:cs="仿宋_GB2312"/>
                <w:color w:val="000000"/>
                <w:kern w:val="0"/>
                <w:sz w:val="28"/>
                <w:szCs w:val="28"/>
                <w:highlight w:val="none"/>
                <w:lang w:bidi="ar"/>
              </w:rPr>
              <w:t xml:space="preserve">□生活、社会服务类  □房屋装修及物业服务类  □旅游服务  □文化、娱乐、体育服务  □邮政业服务  □电信服务  □互联网服务  □金融服务  □保险服务  □卫生保健服务  □教育培训服务  □公共设施服务  □销售服务 </w:t>
            </w:r>
            <w:r>
              <w:rPr>
                <w:rFonts w:hint="eastAsia" w:ascii="仿宋_GB2312" w:hAnsi="等线" w:cs="仿宋_GB2312"/>
                <w:color w:val="000000"/>
                <w:kern w:val="0"/>
                <w:sz w:val="28"/>
                <w:szCs w:val="28"/>
                <w:highlight w:val="none"/>
                <w:lang w:val="en-US" w:eastAsia="zh-CN" w:bidi="ar"/>
              </w:rPr>
              <w:t xml:space="preserve"> </w:t>
            </w:r>
            <w:r>
              <w:rPr>
                <w:rFonts w:hint="eastAsia" w:ascii="仿宋_GB2312" w:hAnsi="等线" w:cs="仿宋_GB2312"/>
                <w:color w:val="000000"/>
                <w:kern w:val="0"/>
                <w:sz w:val="28"/>
                <w:szCs w:val="28"/>
                <w:highlight w:val="none"/>
                <w:lang w:bidi="ar"/>
              </w:rPr>
              <w:t>□</w:t>
            </w:r>
            <w:r>
              <w:rPr>
                <w:rFonts w:hint="eastAsia" w:ascii="仿宋_GB2312" w:hAnsi="等线" w:cs="仿宋_GB2312"/>
                <w:color w:val="000000"/>
                <w:kern w:val="0"/>
                <w:sz w:val="28"/>
                <w:szCs w:val="28"/>
                <w:highlight w:val="none"/>
                <w:lang w:val="en-US" w:eastAsia="zh-CN" w:bidi="ar"/>
              </w:rPr>
              <w:t>餐饮</w:t>
            </w:r>
            <w:r>
              <w:rPr>
                <w:rFonts w:hint="eastAsia" w:ascii="仿宋_GB2312" w:hAnsi="等线" w:cs="仿宋_GB2312"/>
                <w:color w:val="000000"/>
                <w:kern w:val="0"/>
                <w:sz w:val="28"/>
                <w:szCs w:val="28"/>
                <w:highlight w:val="none"/>
                <w:lang w:bidi="ar"/>
              </w:rPr>
              <w:t>服务  □其他服务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2312" w:type="dxa"/>
            <w:gridSpan w:val="2"/>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负责人</w:t>
            </w:r>
          </w:p>
        </w:tc>
        <w:tc>
          <w:tcPr>
            <w:tcW w:w="2732" w:type="dxa"/>
            <w:noWrap w:val="0"/>
            <w:vAlign w:val="center"/>
          </w:tcPr>
          <w:p>
            <w:pPr>
              <w:widowControl/>
              <w:spacing w:line="300" w:lineRule="exact"/>
              <w:jc w:val="center"/>
              <w:rPr>
                <w:rFonts w:hint="eastAsia" w:ascii="仿宋_GB2312" w:hAnsi="等线" w:cs="仿宋_GB2312"/>
                <w:color w:val="000000"/>
                <w:sz w:val="28"/>
                <w:szCs w:val="28"/>
                <w:highlight w:val="none"/>
              </w:rPr>
            </w:pPr>
          </w:p>
        </w:tc>
        <w:tc>
          <w:tcPr>
            <w:tcW w:w="1230" w:type="dxa"/>
            <w:noWrap w:val="0"/>
            <w:vAlign w:val="center"/>
          </w:tcPr>
          <w:p>
            <w:pPr>
              <w:widowControl/>
              <w:spacing w:line="300" w:lineRule="exact"/>
              <w:jc w:val="center"/>
              <w:textAlignment w:val="center"/>
              <w:rPr>
                <w:rFonts w:hint="eastAsia" w:ascii="仿宋_GB2312" w:hAnsi="等线" w:cs="仿宋_GB2312"/>
                <w:b/>
                <w:bCs/>
                <w:color w:val="000000"/>
                <w:sz w:val="28"/>
                <w:szCs w:val="28"/>
                <w:highlight w:val="none"/>
              </w:rPr>
            </w:pPr>
            <w:r>
              <w:rPr>
                <w:rFonts w:hint="eastAsia" w:ascii="仿宋_GB2312" w:hAnsi="等线" w:cs="仿宋_GB2312"/>
                <w:b/>
                <w:bCs/>
                <w:color w:val="000000"/>
                <w:kern w:val="0"/>
                <w:sz w:val="28"/>
                <w:szCs w:val="28"/>
                <w:highlight w:val="none"/>
                <w:lang w:bidi="ar"/>
              </w:rPr>
              <w:t>手机号码</w:t>
            </w:r>
          </w:p>
        </w:tc>
        <w:tc>
          <w:tcPr>
            <w:tcW w:w="2995" w:type="dxa"/>
            <w:noWrap w:val="0"/>
            <w:vAlign w:val="center"/>
          </w:tcPr>
          <w:p>
            <w:pPr>
              <w:widowControl/>
              <w:spacing w:line="300" w:lineRule="exact"/>
              <w:jc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2312" w:type="dxa"/>
            <w:gridSpan w:val="2"/>
            <w:noWrap w:val="0"/>
            <w:vAlign w:val="center"/>
          </w:tcPr>
          <w:p>
            <w:pPr>
              <w:widowControl/>
              <w:spacing w:line="300" w:lineRule="exact"/>
              <w:jc w:val="center"/>
              <w:textAlignment w:val="center"/>
              <w:rPr>
                <w:rFonts w:hint="default" w:ascii="仿宋_GB2312" w:hAnsi="等线" w:eastAsia="仿宋_GB2312" w:cs="仿宋_GB2312"/>
                <w:b/>
                <w:color w:val="000000"/>
                <w:sz w:val="28"/>
                <w:szCs w:val="28"/>
                <w:highlight w:val="none"/>
                <w:lang w:val="en-US" w:eastAsia="zh-CN"/>
              </w:rPr>
            </w:pPr>
            <w:r>
              <w:rPr>
                <w:rFonts w:hint="eastAsia" w:ascii="仿宋_GB2312" w:hAnsi="等线" w:cs="仿宋_GB2312"/>
                <w:b/>
                <w:color w:val="000000"/>
                <w:kern w:val="0"/>
                <w:sz w:val="28"/>
                <w:szCs w:val="28"/>
                <w:highlight w:val="none"/>
                <w:lang w:val="en-US" w:eastAsia="zh-CN" w:bidi="ar"/>
              </w:rPr>
              <w:t>所属</w:t>
            </w:r>
            <w:r>
              <w:rPr>
                <w:rFonts w:hint="eastAsia" w:ascii="仿宋_GB2312" w:hAnsi="等线" w:cs="仿宋_GB2312"/>
                <w:b/>
                <w:color w:val="000000"/>
                <w:kern w:val="0"/>
                <w:sz w:val="28"/>
                <w:szCs w:val="28"/>
                <w:highlight w:val="none"/>
                <w:lang w:bidi="ar"/>
              </w:rPr>
              <w:t>行业协会</w:t>
            </w:r>
            <w:r>
              <w:rPr>
                <w:rFonts w:hint="eastAsia" w:ascii="仿宋_GB2312" w:hAnsi="等线" w:cs="仿宋_GB2312"/>
                <w:b/>
                <w:color w:val="000000"/>
                <w:kern w:val="0"/>
                <w:sz w:val="28"/>
                <w:szCs w:val="28"/>
                <w:highlight w:val="none"/>
                <w:lang w:val="en-US" w:eastAsia="zh-CN" w:bidi="ar"/>
              </w:rPr>
              <w:t>/街区（商圈）/农贸市场/</w:t>
            </w:r>
          </w:p>
        </w:tc>
        <w:tc>
          <w:tcPr>
            <w:tcW w:w="6957" w:type="dxa"/>
            <w:gridSpan w:val="3"/>
            <w:noWrap w:val="0"/>
            <w:vAlign w:val="center"/>
          </w:tcPr>
          <w:p>
            <w:pPr>
              <w:widowControl/>
              <w:spacing w:line="300" w:lineRule="exact"/>
              <w:jc w:val="left"/>
              <w:textAlignment w:val="center"/>
              <w:rPr>
                <w:rFonts w:hint="eastAsia" w:ascii="仿宋_GB2312" w:hAnsi="等线" w:cs="仿宋_GB2312"/>
                <w:color w:val="000000"/>
                <w:sz w:val="28"/>
                <w:szCs w:val="28"/>
                <w:highlight w:val="none"/>
              </w:rPr>
            </w:pPr>
            <w:r>
              <w:rPr>
                <w:rFonts w:hint="eastAsia" w:ascii="仿宋_GB2312" w:hAnsi="仿宋_GB2312" w:cs="仿宋_GB2312"/>
                <w:color w:val="000000"/>
                <w:kern w:val="0"/>
                <w:sz w:val="28"/>
                <w:szCs w:val="28"/>
                <w:highlight w:val="none"/>
                <w:lang w:val="en-US" w:eastAsia="zh-CN" w:bidi="ar"/>
              </w:rPr>
              <w:t>（通过行业协会/</w:t>
            </w:r>
            <w:r>
              <w:rPr>
                <w:rFonts w:hint="eastAsia" w:ascii="仿宋_GB2312" w:hAnsi="仿宋_GB2312" w:cs="仿宋_GB2312"/>
                <w:color w:val="000000"/>
                <w:kern w:val="0"/>
                <w:sz w:val="28"/>
                <w:szCs w:val="28"/>
                <w:highlight w:val="none"/>
                <w:lang w:bidi="ar"/>
              </w:rPr>
              <w:t>街区（商圈）/农贸市场/</w:t>
            </w:r>
            <w:r>
              <w:rPr>
                <w:rFonts w:hint="eastAsia" w:ascii="仿宋_GB2312" w:hAnsi="仿宋_GB2312" w:cs="仿宋_GB2312"/>
                <w:color w:val="000000"/>
                <w:kern w:val="0"/>
                <w:sz w:val="28"/>
                <w:szCs w:val="28"/>
                <w:highlight w:val="none"/>
                <w:lang w:val="en-US" w:eastAsia="zh-CN" w:bidi="ar"/>
              </w:rPr>
              <w:t>集中申报时填写。如经营者直接申报，则无须填写。）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92" w:hRule="atLeast"/>
          <w:jc w:val="center"/>
        </w:trPr>
        <w:tc>
          <w:tcPr>
            <w:tcW w:w="1319" w:type="dxa"/>
            <w:vMerge w:val="restart"/>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承诺事项及具体内容</w:t>
            </w:r>
          </w:p>
        </w:tc>
        <w:tc>
          <w:tcPr>
            <w:tcW w:w="993" w:type="dxa"/>
            <w:noWrap w:val="0"/>
            <w:vAlign w:val="center"/>
          </w:tcPr>
          <w:p>
            <w:pPr>
              <w:widowControl/>
              <w:spacing w:line="300" w:lineRule="exact"/>
              <w:jc w:val="center"/>
              <w:textAlignment w:val="center"/>
              <w:rPr>
                <w:rFonts w:ascii="仿宋_GB2312" w:hAnsi="等线" w:cs="仿宋_GB2312"/>
                <w:b/>
                <w:color w:val="000000"/>
                <w:kern w:val="0"/>
                <w:sz w:val="28"/>
                <w:szCs w:val="28"/>
                <w:highlight w:val="none"/>
                <w:lang w:bidi="ar"/>
              </w:rPr>
            </w:pPr>
            <w:r>
              <w:rPr>
                <w:rFonts w:hint="eastAsia" w:ascii="仿宋_GB2312" w:hAnsi="等线" w:cs="仿宋_GB2312"/>
                <w:b/>
                <w:color w:val="000000"/>
                <w:kern w:val="0"/>
                <w:sz w:val="28"/>
                <w:szCs w:val="28"/>
                <w:highlight w:val="none"/>
                <w:lang w:bidi="ar"/>
              </w:rPr>
              <w:t>适用</w:t>
            </w:r>
          </w:p>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商品</w:t>
            </w:r>
          </w:p>
        </w:tc>
        <w:tc>
          <w:tcPr>
            <w:tcW w:w="6957"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80" w:hRule="atLeast"/>
          <w:jc w:val="center"/>
        </w:trPr>
        <w:tc>
          <w:tcPr>
            <w:tcW w:w="1319" w:type="dxa"/>
            <w:vMerge w:val="continue"/>
            <w:noWrap w:val="0"/>
            <w:vAlign w:val="center"/>
          </w:tcPr>
          <w:p>
            <w:pPr>
              <w:widowControl/>
              <w:spacing w:line="300" w:lineRule="exact"/>
              <w:jc w:val="center"/>
              <w:rPr>
                <w:rFonts w:hint="eastAsia" w:ascii="仿宋_GB2312" w:hAnsi="等线" w:cs="仿宋_GB2312"/>
                <w:b/>
                <w:color w:val="000000"/>
                <w:sz w:val="28"/>
                <w:szCs w:val="28"/>
                <w:highlight w:val="none"/>
              </w:rPr>
            </w:pPr>
          </w:p>
        </w:tc>
        <w:tc>
          <w:tcPr>
            <w:tcW w:w="993" w:type="dxa"/>
            <w:noWrap w:val="0"/>
            <w:vAlign w:val="center"/>
          </w:tcPr>
          <w:p>
            <w:pPr>
              <w:widowControl/>
              <w:spacing w:line="300" w:lineRule="exact"/>
              <w:jc w:val="center"/>
              <w:textAlignment w:val="center"/>
              <w:rPr>
                <w:rFonts w:ascii="仿宋_GB2312" w:hAnsi="等线" w:cs="仿宋_GB2312"/>
                <w:b/>
                <w:color w:val="000000"/>
                <w:kern w:val="0"/>
                <w:sz w:val="28"/>
                <w:szCs w:val="28"/>
                <w:highlight w:val="none"/>
                <w:lang w:bidi="ar"/>
              </w:rPr>
            </w:pPr>
            <w:r>
              <w:rPr>
                <w:rFonts w:hint="eastAsia" w:ascii="仿宋_GB2312" w:hAnsi="等线" w:cs="仿宋_GB2312"/>
                <w:b/>
                <w:color w:val="000000"/>
                <w:kern w:val="0"/>
                <w:sz w:val="28"/>
                <w:szCs w:val="28"/>
                <w:highlight w:val="none"/>
                <w:lang w:bidi="ar"/>
              </w:rPr>
              <w:t>退货</w:t>
            </w:r>
          </w:p>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期限</w:t>
            </w:r>
          </w:p>
        </w:tc>
        <w:tc>
          <w:tcPr>
            <w:tcW w:w="6957"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42" w:hRule="atLeast"/>
          <w:jc w:val="center"/>
        </w:trPr>
        <w:tc>
          <w:tcPr>
            <w:tcW w:w="1319" w:type="dxa"/>
            <w:vMerge w:val="continue"/>
            <w:noWrap w:val="0"/>
            <w:vAlign w:val="center"/>
          </w:tcPr>
          <w:p>
            <w:pPr>
              <w:widowControl/>
              <w:spacing w:line="300" w:lineRule="exact"/>
              <w:jc w:val="center"/>
              <w:rPr>
                <w:rFonts w:hint="eastAsia" w:ascii="仿宋_GB2312" w:hAnsi="等线" w:cs="仿宋_GB2312"/>
                <w:b/>
                <w:color w:val="000000"/>
                <w:sz w:val="28"/>
                <w:szCs w:val="28"/>
                <w:highlight w:val="none"/>
              </w:rPr>
            </w:pPr>
          </w:p>
        </w:tc>
        <w:tc>
          <w:tcPr>
            <w:tcW w:w="993" w:type="dxa"/>
            <w:noWrap w:val="0"/>
            <w:vAlign w:val="center"/>
          </w:tcPr>
          <w:p>
            <w:pPr>
              <w:widowControl/>
              <w:spacing w:line="300" w:lineRule="exact"/>
              <w:jc w:val="center"/>
              <w:textAlignment w:val="center"/>
              <w:rPr>
                <w:rFonts w:ascii="仿宋_GB2312" w:hAnsi="等线" w:cs="仿宋_GB2312"/>
                <w:b/>
                <w:color w:val="000000"/>
                <w:sz w:val="28"/>
                <w:szCs w:val="28"/>
                <w:highlight w:val="none"/>
              </w:rPr>
            </w:pPr>
            <w:r>
              <w:rPr>
                <w:rFonts w:hint="eastAsia" w:ascii="仿宋_GB2312" w:hAnsi="等线" w:cs="仿宋_GB2312"/>
                <w:b/>
                <w:color w:val="000000"/>
                <w:sz w:val="28"/>
                <w:szCs w:val="28"/>
                <w:highlight w:val="none"/>
              </w:rPr>
              <w:t>退货</w:t>
            </w:r>
          </w:p>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sz w:val="28"/>
                <w:szCs w:val="28"/>
                <w:highlight w:val="none"/>
              </w:rPr>
              <w:t>约定</w:t>
            </w:r>
          </w:p>
        </w:tc>
        <w:tc>
          <w:tcPr>
            <w:tcW w:w="6957"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5" w:hRule="atLeast"/>
          <w:jc w:val="center"/>
        </w:trPr>
        <w:tc>
          <w:tcPr>
            <w:tcW w:w="9269" w:type="dxa"/>
            <w:gridSpan w:val="5"/>
            <w:noWrap w:val="0"/>
            <w:vAlign w:val="center"/>
          </w:tcPr>
          <w:p>
            <w:pPr>
              <w:widowControl/>
              <w:spacing w:line="400" w:lineRule="exact"/>
              <w:ind w:firstLine="280" w:firstLineChars="100"/>
              <w:textAlignment w:val="center"/>
              <w:rPr>
                <w:rFonts w:hint="eastAsia" w:ascii="仿宋_GB2312" w:hAnsi="仿宋_GB2312" w:cs="仿宋_GB2312"/>
                <w:color w:val="000000"/>
                <w:kern w:val="0"/>
                <w:sz w:val="28"/>
                <w:szCs w:val="28"/>
                <w:highlight w:val="none"/>
                <w:lang w:bidi="ar"/>
              </w:rPr>
            </w:pPr>
          </w:p>
          <w:p>
            <w:pPr>
              <w:widowControl/>
              <w:spacing w:line="400" w:lineRule="exact"/>
              <w:ind w:firstLine="280" w:firstLineChars="100"/>
              <w:textAlignment w:val="center"/>
              <w:rPr>
                <w:rFonts w:hint="eastAsia" w:ascii="仿宋_GB2312" w:hAnsi="仿宋_GB2312" w:cs="仿宋_GB2312"/>
                <w:color w:val="000000"/>
                <w:kern w:val="0"/>
                <w:sz w:val="28"/>
                <w:szCs w:val="28"/>
                <w:highlight w:val="none"/>
                <w:lang w:bidi="ar"/>
              </w:rPr>
            </w:pPr>
            <w:r>
              <w:rPr>
                <w:rFonts w:hint="eastAsia" w:ascii="仿宋_GB2312" w:hAnsi="仿宋_GB2312" w:cs="仿宋_GB2312"/>
                <w:color w:val="000000"/>
                <w:kern w:val="0"/>
                <w:sz w:val="28"/>
                <w:szCs w:val="28"/>
                <w:highlight w:val="none"/>
                <w:lang w:bidi="ar"/>
              </w:rPr>
              <w:t>本单位郑重声明：</w:t>
            </w:r>
          </w:p>
          <w:p>
            <w:pPr>
              <w:widowControl/>
              <w:spacing w:line="400" w:lineRule="exact"/>
              <w:ind w:left="278" w:leftChars="87"/>
              <w:textAlignment w:val="center"/>
              <w:rPr>
                <w:rFonts w:hint="eastAsia" w:ascii="仿宋_GB2312" w:hAnsi="仿宋_GB2312" w:cs="仿宋_GB2312"/>
                <w:color w:val="000000"/>
                <w:kern w:val="0"/>
                <w:sz w:val="28"/>
                <w:szCs w:val="28"/>
                <w:highlight w:val="none"/>
                <w:lang w:bidi="ar"/>
              </w:rPr>
            </w:pPr>
            <w:r>
              <w:rPr>
                <w:rStyle w:val="30"/>
                <w:rFonts w:hint="eastAsia" w:hAnsi="仿宋_GB2312"/>
                <w:highlight w:val="none"/>
                <w:lang w:bidi="ar"/>
              </w:rPr>
              <w:t>1</w:t>
            </w:r>
            <w:r>
              <w:rPr>
                <w:rFonts w:hint="eastAsia" w:ascii="仿宋_GB2312" w:hAnsi="仿宋_GB2312" w:cs="仿宋_GB2312"/>
                <w:color w:val="000000"/>
                <w:kern w:val="0"/>
                <w:sz w:val="28"/>
                <w:szCs w:val="28"/>
                <w:highlight w:val="none"/>
                <w:lang w:bidi="ar"/>
              </w:rPr>
              <w:t>.自愿申请参与“线下无理由退货承诺”活动，愿意接受消委会和行业协会指导，遵守承诺活动规则，并接受社会各界和广大消费者监督；</w:t>
            </w:r>
          </w:p>
          <w:p>
            <w:pPr>
              <w:widowControl/>
              <w:spacing w:line="400" w:lineRule="exact"/>
              <w:ind w:left="278" w:leftChars="87"/>
              <w:textAlignment w:val="center"/>
              <w:rPr>
                <w:rFonts w:hint="eastAsia" w:ascii="仿宋_GB2312" w:hAnsi="仿宋_GB2312" w:cs="仿宋_GB2312"/>
                <w:color w:val="000000"/>
                <w:kern w:val="0"/>
                <w:sz w:val="28"/>
                <w:szCs w:val="28"/>
                <w:highlight w:val="none"/>
                <w:lang w:bidi="ar"/>
              </w:rPr>
            </w:pPr>
            <w:r>
              <w:rPr>
                <w:rStyle w:val="30"/>
                <w:rFonts w:hint="eastAsia" w:hAnsi="仿宋_GB2312"/>
                <w:highlight w:val="none"/>
                <w:lang w:bidi="ar"/>
              </w:rPr>
              <w:t>2</w:t>
            </w:r>
            <w:r>
              <w:rPr>
                <w:rFonts w:hint="eastAsia" w:ascii="仿宋_GB2312" w:hAnsi="仿宋_GB2312" w:cs="仿宋_GB2312"/>
                <w:color w:val="000000"/>
                <w:kern w:val="0"/>
                <w:sz w:val="28"/>
                <w:szCs w:val="28"/>
                <w:highlight w:val="none"/>
                <w:lang w:bidi="ar"/>
              </w:rPr>
              <w:t>.所提交材料真实、准确，如有虚假，本单位愿意按活动规则接受处理，并依法承担相应责任。</w:t>
            </w:r>
          </w:p>
          <w:p>
            <w:pPr>
              <w:widowControl/>
              <w:spacing w:line="300" w:lineRule="exact"/>
              <w:textAlignment w:val="center"/>
              <w:rPr>
                <w:rFonts w:hint="eastAsia" w:ascii="仿宋_GB2312" w:hAnsi="仿宋_GB2312" w:cs="仿宋_GB2312"/>
                <w:color w:val="000000"/>
                <w:kern w:val="0"/>
                <w:sz w:val="28"/>
                <w:szCs w:val="28"/>
                <w:highlight w:val="none"/>
                <w:lang w:bidi="ar"/>
              </w:rPr>
            </w:pPr>
          </w:p>
          <w:p>
            <w:pPr>
              <w:widowControl/>
              <w:spacing w:line="300" w:lineRule="exact"/>
              <w:textAlignment w:val="center"/>
              <w:rPr>
                <w:rFonts w:hint="eastAsia" w:ascii="仿宋_GB2312" w:hAnsi="仿宋_GB2312" w:cs="仿宋_GB2312"/>
                <w:color w:val="000000"/>
                <w:kern w:val="0"/>
                <w:sz w:val="28"/>
                <w:szCs w:val="28"/>
                <w:highlight w:val="none"/>
                <w:lang w:bidi="ar"/>
              </w:rPr>
            </w:pPr>
            <w:r>
              <w:rPr>
                <w:rFonts w:hint="eastAsia" w:ascii="仿宋_GB2312" w:hAnsi="仿宋_GB2312" w:cs="仿宋_GB2312"/>
                <w:color w:val="000000"/>
                <w:kern w:val="0"/>
                <w:sz w:val="28"/>
                <w:szCs w:val="28"/>
                <w:highlight w:val="none"/>
                <w:lang w:bidi="ar"/>
              </w:rPr>
              <w:br w:type="textWrapping"/>
            </w:r>
            <w:r>
              <w:rPr>
                <w:rFonts w:hint="eastAsia" w:ascii="仿宋_GB2312" w:hAnsi="仿宋_GB2312" w:cs="仿宋_GB2312"/>
                <w:color w:val="000000"/>
                <w:kern w:val="0"/>
                <w:sz w:val="28"/>
                <w:szCs w:val="28"/>
                <w:highlight w:val="none"/>
                <w:lang w:bidi="ar"/>
              </w:rPr>
              <w:br w:type="textWrapping"/>
            </w:r>
            <w:r>
              <w:rPr>
                <w:rFonts w:hint="eastAsia" w:ascii="仿宋_GB2312" w:hAnsi="仿宋_GB2312" w:cs="仿宋_GB2312"/>
                <w:color w:val="000000"/>
                <w:kern w:val="0"/>
                <w:sz w:val="28"/>
                <w:szCs w:val="28"/>
                <w:highlight w:val="none"/>
                <w:lang w:bidi="ar"/>
              </w:rPr>
              <w:t xml:space="preserve">                           申请单位（盖章）：   </w:t>
            </w:r>
          </w:p>
          <w:p>
            <w:pPr>
              <w:widowControl/>
              <w:spacing w:line="300" w:lineRule="exact"/>
              <w:textAlignment w:val="center"/>
              <w:rPr>
                <w:rFonts w:hint="eastAsia" w:ascii="仿宋_GB2312" w:hAnsi="仿宋_GB2312" w:cs="仿宋_GB2312"/>
                <w:color w:val="000000"/>
                <w:kern w:val="0"/>
                <w:sz w:val="28"/>
                <w:szCs w:val="28"/>
                <w:highlight w:val="none"/>
                <w:lang w:bidi="ar"/>
              </w:rPr>
            </w:pPr>
            <w:r>
              <w:rPr>
                <w:rFonts w:hint="eastAsia" w:ascii="仿宋_GB2312" w:hAnsi="仿宋_GB2312" w:cs="仿宋_GB2312"/>
                <w:color w:val="000000"/>
                <w:kern w:val="0"/>
                <w:sz w:val="28"/>
                <w:szCs w:val="28"/>
                <w:highlight w:val="none"/>
                <w:lang w:bidi="ar"/>
              </w:rPr>
              <w:t xml:space="preserve">         </w:t>
            </w:r>
          </w:p>
          <w:p>
            <w:pPr>
              <w:widowControl/>
              <w:spacing w:line="300" w:lineRule="exact"/>
              <w:textAlignment w:val="center"/>
              <w:rPr>
                <w:rFonts w:hint="eastAsia" w:ascii="仿宋_GB2312" w:hAnsi="仿宋_GB2312" w:cs="仿宋_GB2312"/>
                <w:color w:val="000000"/>
                <w:kern w:val="0"/>
                <w:sz w:val="28"/>
                <w:szCs w:val="28"/>
                <w:highlight w:val="none"/>
                <w:lang w:bidi="ar"/>
              </w:rPr>
            </w:pPr>
            <w:r>
              <w:rPr>
                <w:rFonts w:hint="eastAsia" w:ascii="仿宋_GB2312" w:hAnsi="仿宋_GB2312" w:cs="仿宋_GB2312"/>
                <w:color w:val="000000"/>
                <w:kern w:val="0"/>
                <w:sz w:val="28"/>
                <w:szCs w:val="28"/>
                <w:highlight w:val="none"/>
                <w:lang w:bidi="ar"/>
              </w:rPr>
              <w:t xml:space="preserve">                                   申请日期：    年    月    日</w:t>
            </w:r>
          </w:p>
          <w:p>
            <w:pPr>
              <w:widowControl/>
              <w:spacing w:line="300" w:lineRule="exact"/>
              <w:textAlignment w:val="center"/>
              <w:rPr>
                <w:rFonts w:hint="eastAsia" w:ascii="仿宋_GB2312" w:hAnsi="仿宋_GB2312" w:cs="仿宋_GB2312"/>
                <w:color w:val="000000"/>
                <w:kern w:val="0"/>
                <w:sz w:val="28"/>
                <w:szCs w:val="28"/>
                <w:highlight w:val="none"/>
                <w:lang w:bidi="ar"/>
              </w:rPr>
            </w:pPr>
          </w:p>
        </w:tc>
      </w:tr>
    </w:tbl>
    <w:p>
      <w:pPr>
        <w:rPr>
          <w:rFonts w:hint="eastAsia" w:ascii="仿宋_GB2312" w:hAnsi="仿宋_GB2312" w:eastAsia="仿宋_GB2312" w:cs="仿宋_GB2312"/>
          <w:highlight w:val="none"/>
          <w:lang w:val="en-US" w:eastAsia="zh-CN"/>
        </w:rPr>
        <w:sectPr>
          <w:pgSz w:w="11906" w:h="16838"/>
          <w:pgMar w:top="1440" w:right="1800" w:bottom="1440" w:left="1800" w:header="851" w:footer="992" w:gutter="0"/>
          <w:pgNumType w:fmt="numberInDash"/>
          <w:cols w:space="720" w:num="1"/>
          <w:docGrid w:type="lines" w:linePitch="312" w:charSpace="0"/>
        </w:sectPr>
      </w:pPr>
    </w:p>
    <w:p>
      <w:pPr>
        <w:rPr>
          <w:rFonts w:hint="eastAsia" w:ascii="仿宋_GB2312" w:hAnsi="仿宋_GB2312" w:eastAsia="仿宋_GB2312" w:cs="仿宋_GB2312"/>
          <w:highlight w:val="none"/>
          <w:lang w:val="en-US" w:eastAsia="zh-CN"/>
        </w:rPr>
      </w:pPr>
      <w:r>
        <w:rPr>
          <w:rFonts w:hint="eastAsia" w:ascii="黑体" w:hAnsi="黑体" w:eastAsia="黑体" w:cs="黑体"/>
          <w:highlight w:val="none"/>
          <w:lang w:val="en-US" w:eastAsia="zh-CN"/>
        </w:rPr>
        <w:t>附件</w:t>
      </w:r>
      <w:r>
        <w:rPr>
          <w:rFonts w:hint="default" w:ascii="Times New Roman" w:hAnsi="Times New Roman" w:eastAsia="仿宋_GB2312" w:cs="Times New Roman"/>
          <w:highlight w:val="none"/>
          <w:lang w:val="en-US" w:eastAsia="zh-CN"/>
        </w:rPr>
        <w:t>2</w:t>
      </w:r>
    </w:p>
    <w:p>
      <w:pPr>
        <w:spacing w:line="600" w:lineRule="exact"/>
        <w:jc w:val="center"/>
        <w:rPr>
          <w:rFonts w:hint="eastAsia" w:ascii="方正小标宋简体" w:eastAsia="方正小标宋简体"/>
          <w:sz w:val="44"/>
          <w:szCs w:val="44"/>
          <w:highlight w:val="none"/>
        </w:rPr>
      </w:pPr>
      <w:r>
        <w:rPr>
          <w:rFonts w:hint="eastAsia" w:ascii="方正小标宋简体" w:hAnsi="仿宋_GB2312" w:eastAsia="方正小标宋简体" w:cs="仿宋_GB2312"/>
          <w:color w:val="000000"/>
          <w:sz w:val="44"/>
          <w:szCs w:val="44"/>
          <w:highlight w:val="none"/>
          <w:lang w:eastAsia="zh-CN"/>
        </w:rPr>
        <w:t>“</w:t>
      </w:r>
      <w:r>
        <w:rPr>
          <w:rFonts w:hint="eastAsia" w:ascii="方正小标宋简体" w:hAnsi="仿宋_GB2312" w:eastAsia="方正小标宋简体" w:cs="仿宋_GB2312"/>
          <w:color w:val="000000"/>
          <w:sz w:val="44"/>
          <w:szCs w:val="44"/>
          <w:highlight w:val="none"/>
        </w:rPr>
        <w:t>线下无理由退货承诺店”</w:t>
      </w:r>
      <w:r>
        <w:rPr>
          <w:rFonts w:hint="default" w:ascii="方正小标宋简体" w:hAnsi="仿宋_GB2312" w:eastAsia="方正小标宋简体" w:cs="仿宋_GB2312"/>
          <w:color w:val="000000"/>
          <w:sz w:val="44"/>
          <w:szCs w:val="44"/>
          <w:highlight w:val="none"/>
          <w:lang w:val="en-US"/>
        </w:rPr>
        <w:t>公示牌</w:t>
      </w:r>
      <w:r>
        <w:rPr>
          <w:rFonts w:hint="eastAsia" w:ascii="方正小标宋简体" w:hAnsi="仿宋_GB2312" w:eastAsia="方正小标宋简体" w:cs="仿宋_GB2312"/>
          <w:color w:val="000000"/>
          <w:sz w:val="44"/>
          <w:szCs w:val="44"/>
          <w:highlight w:val="none"/>
        </w:rPr>
        <w:t>模板</w:t>
      </w:r>
    </w:p>
    <w:p>
      <w:pPr>
        <w:pStyle w:val="9"/>
        <w:keepNext w:val="0"/>
        <w:keepLines w:val="0"/>
        <w:widowControl/>
        <w:suppressLineNumbers w:val="0"/>
        <w:jc w:val="center"/>
        <w:rPr>
          <w:rFonts w:hint="eastAsia" w:eastAsia="仿宋_GB2312"/>
          <w:highlight w:val="none"/>
          <w:lang w:eastAsia="zh-CN"/>
        </w:rPr>
      </w:pPr>
      <w:r>
        <w:rPr>
          <w:rFonts w:hint="eastAsia" w:eastAsia="仿宋_GB2312"/>
          <w:highlight w:val="none"/>
          <w:lang w:eastAsia="zh-CN"/>
        </w:rPr>
        <w:drawing>
          <wp:inline distT="0" distB="0" distL="114300" distR="114300">
            <wp:extent cx="2864485" cy="4356100"/>
            <wp:effectExtent l="0" t="0" r="12065" b="6350"/>
            <wp:docPr id="2" name="图片 2" descr="b73b4f53fcc5c6e5b7408f88b70291e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3b4f53fcc5c6e5b7408f88b70291e9_"/>
                    <pic:cNvPicPr>
                      <a:picLocks noChangeAspect="1"/>
                    </pic:cNvPicPr>
                  </pic:nvPicPr>
                  <pic:blipFill>
                    <a:blip r:embed="rId5"/>
                    <a:stretch>
                      <a:fillRect/>
                    </a:stretch>
                  </pic:blipFill>
                  <pic:spPr>
                    <a:xfrm>
                      <a:off x="0" y="0"/>
                      <a:ext cx="2864485" cy="4356100"/>
                    </a:xfrm>
                    <a:prstGeom prst="rect">
                      <a:avLst/>
                    </a:prstGeom>
                  </pic:spPr>
                </pic:pic>
              </a:graphicData>
            </a:graphic>
          </wp:inline>
        </w:drawing>
      </w:r>
    </w:p>
    <w:p>
      <w:pPr>
        <w:pStyle w:val="9"/>
        <w:widowControl/>
        <w:spacing w:before="157" w:beforeLines="50" w:beforeAutospacing="0" w:after="157" w:afterLines="50" w:afterAutospacing="0" w:line="240" w:lineRule="auto"/>
        <w:jc w:val="center"/>
        <w:rPr>
          <w:rFonts w:hint="eastAsia" w:ascii="黑体" w:hAnsi="黑体" w:eastAsia="黑体" w:cs="黑体"/>
          <w:sz w:val="32"/>
          <w:szCs w:val="32"/>
          <w:highlight w:val="none"/>
          <w:lang w:eastAsia="zh-CN"/>
        </w:rPr>
      </w:pPr>
      <w:r>
        <w:rPr>
          <w:rFonts w:hint="eastAsia" w:eastAsia="仿宋_GB2312"/>
          <w:highlight w:val="none"/>
          <w:lang w:eastAsia="zh-CN"/>
        </w:rPr>
        <w:drawing>
          <wp:inline distT="0" distB="0" distL="114300" distR="114300">
            <wp:extent cx="3843020" cy="2562225"/>
            <wp:effectExtent l="0" t="0" r="5080" b="9525"/>
            <wp:docPr id="7" name="图片 7" descr="0bda3aadf4d0e84d3aa8c9425789a37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bda3aadf4d0e84d3aa8c9425789a379_"/>
                    <pic:cNvPicPr>
                      <a:picLocks noChangeAspect="1"/>
                    </pic:cNvPicPr>
                  </pic:nvPicPr>
                  <pic:blipFill>
                    <a:blip r:embed="rId6"/>
                    <a:stretch>
                      <a:fillRect/>
                    </a:stretch>
                  </pic:blipFill>
                  <pic:spPr>
                    <a:xfrm>
                      <a:off x="0" y="0"/>
                      <a:ext cx="3843020" cy="2562225"/>
                    </a:xfrm>
                    <a:prstGeom prst="rect">
                      <a:avLst/>
                    </a:prstGeom>
                  </pic:spPr>
                </pic:pic>
              </a:graphicData>
            </a:graphic>
          </wp:inline>
        </w:drawing>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30063"/>
    <w:rsid w:val="00CB47E4"/>
    <w:rsid w:val="00CC5719"/>
    <w:rsid w:val="01BD3D8A"/>
    <w:rsid w:val="03695B34"/>
    <w:rsid w:val="03743F9A"/>
    <w:rsid w:val="0388668F"/>
    <w:rsid w:val="052838FC"/>
    <w:rsid w:val="06B27A64"/>
    <w:rsid w:val="07663265"/>
    <w:rsid w:val="0E2E49F1"/>
    <w:rsid w:val="0F024A5F"/>
    <w:rsid w:val="0FCD775F"/>
    <w:rsid w:val="10F76219"/>
    <w:rsid w:val="121F1DAD"/>
    <w:rsid w:val="136326EF"/>
    <w:rsid w:val="14625FC8"/>
    <w:rsid w:val="1607464C"/>
    <w:rsid w:val="18F53ABE"/>
    <w:rsid w:val="1B1055F1"/>
    <w:rsid w:val="1BDD4256"/>
    <w:rsid w:val="1CC55FCE"/>
    <w:rsid w:val="1D332CA0"/>
    <w:rsid w:val="200564D3"/>
    <w:rsid w:val="202578A5"/>
    <w:rsid w:val="20A479E5"/>
    <w:rsid w:val="232D45D2"/>
    <w:rsid w:val="23713A57"/>
    <w:rsid w:val="26CF561E"/>
    <w:rsid w:val="2D1943B0"/>
    <w:rsid w:val="2ECF6019"/>
    <w:rsid w:val="2F51208F"/>
    <w:rsid w:val="305D50E2"/>
    <w:rsid w:val="30F334D5"/>
    <w:rsid w:val="34165753"/>
    <w:rsid w:val="34960D2A"/>
    <w:rsid w:val="35EE7247"/>
    <w:rsid w:val="363029CD"/>
    <w:rsid w:val="39372291"/>
    <w:rsid w:val="3ACC44AA"/>
    <w:rsid w:val="3C34238D"/>
    <w:rsid w:val="3D2D1358"/>
    <w:rsid w:val="3DA35198"/>
    <w:rsid w:val="3DA664F0"/>
    <w:rsid w:val="3EC63488"/>
    <w:rsid w:val="3EE13858"/>
    <w:rsid w:val="3F5B1D59"/>
    <w:rsid w:val="40FD0E6C"/>
    <w:rsid w:val="4CDE1251"/>
    <w:rsid w:val="50805045"/>
    <w:rsid w:val="50DE4824"/>
    <w:rsid w:val="528C6D86"/>
    <w:rsid w:val="565B70B0"/>
    <w:rsid w:val="570576D5"/>
    <w:rsid w:val="576B1392"/>
    <w:rsid w:val="59125D70"/>
    <w:rsid w:val="5AC30063"/>
    <w:rsid w:val="5CCB0D92"/>
    <w:rsid w:val="5F3F19CF"/>
    <w:rsid w:val="61E47AE5"/>
    <w:rsid w:val="62360615"/>
    <w:rsid w:val="6508272F"/>
    <w:rsid w:val="66152B9E"/>
    <w:rsid w:val="66E254BE"/>
    <w:rsid w:val="674542D2"/>
    <w:rsid w:val="6908335A"/>
    <w:rsid w:val="6A2B3809"/>
    <w:rsid w:val="6A37438F"/>
    <w:rsid w:val="6EBC0F96"/>
    <w:rsid w:val="6F8C3C94"/>
    <w:rsid w:val="6FDA27B6"/>
    <w:rsid w:val="70D012BE"/>
    <w:rsid w:val="7146444A"/>
    <w:rsid w:val="72694C47"/>
    <w:rsid w:val="72ED5075"/>
    <w:rsid w:val="73B45BD1"/>
    <w:rsid w:val="74D61B5A"/>
    <w:rsid w:val="75C564C2"/>
    <w:rsid w:val="76964B69"/>
    <w:rsid w:val="7A3F1411"/>
    <w:rsid w:val="7C000F82"/>
    <w:rsid w:val="7EED60F6"/>
    <w:rsid w:val="7FC85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ascii="方正小标宋简体" w:hAnsi="方正小标宋简体" w:eastAsia="方正小标宋简体"/>
      <w:kern w:val="44"/>
      <w:sz w:val="44"/>
    </w:rPr>
  </w:style>
  <w:style w:type="paragraph" w:styleId="2">
    <w:name w:val="heading 2"/>
    <w:basedOn w:val="1"/>
    <w:next w:val="1"/>
    <w:unhideWhenUsed/>
    <w:qFormat/>
    <w:uiPriority w:val="0"/>
    <w:pPr>
      <w:keepNext/>
      <w:keepLines/>
      <w:spacing w:beforeLines="0" w:beforeAutospacing="0" w:afterLines="0" w:afterAutospacing="0" w:line="240" w:lineRule="auto"/>
      <w:ind w:firstLine="0" w:firstLineChars="0"/>
      <w:outlineLvl w:val="1"/>
    </w:pPr>
    <w:rPr>
      <w:rFonts w:ascii="Arial" w:hAnsi="Arial" w:eastAsia="黑体"/>
    </w:rPr>
  </w:style>
  <w:style w:type="paragraph" w:styleId="4">
    <w:name w:val="heading 3"/>
    <w:basedOn w:val="1"/>
    <w:next w:val="1"/>
    <w:unhideWhenUsed/>
    <w:qFormat/>
    <w:uiPriority w:val="0"/>
    <w:pPr>
      <w:keepNext/>
      <w:keepLines/>
      <w:spacing w:beforeLines="0" w:beforeAutospacing="0" w:afterLines="0" w:afterAutospacing="0" w:line="240" w:lineRule="auto"/>
      <w:ind w:firstLine="0" w:firstLineChars="0"/>
      <w:outlineLvl w:val="2"/>
    </w:pPr>
    <w:rPr>
      <w:rFonts w:eastAsia="楷体_GB2312"/>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Arial" w:hAnsi="Arial"/>
      <w:b/>
      <w:sz w:val="32"/>
    </w:rPr>
  </w:style>
  <w:style w:type="character" w:default="1" w:styleId="11">
    <w:name w:val="Default Paragraph Font"/>
    <w:semiHidden/>
    <w:qFormat/>
    <w:uiPriority w:val="0"/>
    <w:rPr>
      <w:rFonts w:ascii="Times New Roman" w:hAnsi="Times New Roman" w:eastAsia="仿宋_GB2312"/>
      <w:sz w:val="32"/>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Emphasis"/>
    <w:qFormat/>
    <w:uiPriority w:val="20"/>
    <w:rPr>
      <w:rFonts w:ascii="Verdana" w:hAnsi="Verdana"/>
      <w:i/>
      <w:iCs/>
      <w:kern w:val="0"/>
      <w:sz w:val="24"/>
      <w:szCs w:val="20"/>
      <w:lang w:eastAsia="en-US"/>
    </w:rPr>
  </w:style>
  <w:style w:type="paragraph" w:customStyle="1" w:styleId="13">
    <w:name w:val="正文 New New"/>
    <w:link w:val="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p15"/>
    <w:basedOn w:val="1"/>
    <w:qFormat/>
    <w:uiPriority w:val="0"/>
    <w:pPr>
      <w:widowControl/>
      <w:spacing w:before="100" w:beforeLines="0" w:after="100" w:afterLines="0"/>
      <w:jc w:val="left"/>
    </w:pPr>
    <w:rPr>
      <w:rFonts w:ascii="宋体" w:hAnsi="宋体" w:cs="宋体"/>
      <w:kern w:val="0"/>
      <w:sz w:val="24"/>
      <w:szCs w:val="24"/>
    </w:rPr>
  </w:style>
  <w:style w:type="paragraph" w:customStyle="1" w:styleId="16">
    <w:name w:val="调研报告正文"/>
    <w:basedOn w:val="1"/>
    <w:qFormat/>
    <w:uiPriority w:val="0"/>
    <w:pPr>
      <w:snapToGrid w:val="0"/>
      <w:spacing w:line="360" w:lineRule="auto"/>
      <w:ind w:firstLine="640" w:firstLineChars="200"/>
    </w:pPr>
    <w:rPr>
      <w:rFonts w:ascii="仿宋" w:hAnsi="仿宋" w:eastAsia="仿宋"/>
      <w:kern w:val="2"/>
      <w:sz w:val="32"/>
      <w:szCs w:val="32"/>
      <w:lang w:val="en-US" w:eastAsia="zh-CN"/>
    </w:rPr>
  </w:style>
  <w:style w:type="paragraph" w:customStyle="1" w:styleId="17">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调研报告正文 New New New New New New"/>
    <w:basedOn w:val="19"/>
    <w:qFormat/>
    <w:uiPriority w:val="0"/>
    <w:pPr>
      <w:snapToGrid w:val="0"/>
      <w:spacing w:line="360" w:lineRule="auto"/>
      <w:ind w:firstLine="640" w:firstLineChars="200"/>
    </w:pPr>
    <w:rPr>
      <w:rFonts w:ascii="仿宋" w:hAnsi="仿宋" w:eastAsia="仿宋"/>
      <w:sz w:val="32"/>
      <w:szCs w:val="32"/>
    </w:rPr>
  </w:style>
  <w:style w:type="paragraph" w:customStyle="1" w:styleId="19">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p0"/>
    <w:qFormat/>
    <w:uiPriority w:val="0"/>
    <w:rPr>
      <w:rFonts w:ascii="Calibri" w:hAnsi="Calibri" w:eastAsia="宋体" w:cs="Times New Roman"/>
      <w:sz w:val="21"/>
      <w:szCs w:val="21"/>
      <w:lang w:val="en-US" w:eastAsia="zh-CN" w:bidi="ar-SA"/>
    </w:rPr>
  </w:style>
  <w:style w:type="paragraph" w:customStyle="1" w:styleId="21">
    <w:name w:val="调研报告正文 New New New New"/>
    <w:basedOn w:val="13"/>
    <w:qFormat/>
    <w:uiPriority w:val="0"/>
    <w:pPr>
      <w:snapToGrid w:val="0"/>
      <w:spacing w:line="360" w:lineRule="auto"/>
      <w:ind w:firstLine="640" w:firstLineChars="200"/>
    </w:pPr>
    <w:rPr>
      <w:rFonts w:ascii="仿宋" w:hAnsi="仿宋" w:eastAsia="仿宋"/>
      <w:sz w:val="32"/>
      <w:szCs w:val="32"/>
    </w:rPr>
  </w:style>
  <w:style w:type="paragraph" w:customStyle="1" w:styleId="22">
    <w:name w:val="调研报告正文 New New New New New New New New New New New"/>
    <w:basedOn w:val="23"/>
    <w:qFormat/>
    <w:uiPriority w:val="0"/>
    <w:pPr>
      <w:snapToGrid w:val="0"/>
      <w:spacing w:line="360" w:lineRule="auto"/>
      <w:ind w:firstLine="640" w:firstLineChars="200"/>
    </w:pPr>
    <w:rPr>
      <w:rFonts w:ascii="仿宋" w:hAnsi="仿宋" w:eastAsia="仿宋"/>
      <w:sz w:val="32"/>
      <w:szCs w:val="32"/>
    </w:rPr>
  </w:style>
  <w:style w:type="paragraph" w:customStyle="1" w:styleId="23">
    <w:name w:val="正文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调研报告正文 New New New New New New New New New New"/>
    <w:basedOn w:val="25"/>
    <w:qFormat/>
    <w:uiPriority w:val="0"/>
    <w:pPr>
      <w:snapToGrid w:val="0"/>
      <w:spacing w:line="360" w:lineRule="auto"/>
      <w:ind w:firstLine="640" w:firstLineChars="200"/>
    </w:pPr>
    <w:rPr>
      <w:rFonts w:ascii="仿宋" w:hAnsi="仿宋" w:eastAsia="仿宋"/>
      <w:sz w:val="32"/>
      <w:szCs w:val="32"/>
    </w:rPr>
  </w:style>
  <w:style w:type="paragraph" w:customStyle="1" w:styleId="25">
    <w:name w:val="正文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调研报告正文 New New New New New New New New New New New New"/>
    <w:basedOn w:val="27"/>
    <w:qFormat/>
    <w:uiPriority w:val="0"/>
    <w:pPr>
      <w:snapToGrid w:val="0"/>
      <w:spacing w:line="360" w:lineRule="auto"/>
      <w:ind w:firstLine="640" w:firstLineChars="200"/>
    </w:pPr>
    <w:rPr>
      <w:rFonts w:ascii="仿宋" w:hAnsi="仿宋" w:eastAsia="仿宋"/>
      <w:sz w:val="32"/>
      <w:szCs w:val="32"/>
    </w:rPr>
  </w:style>
  <w:style w:type="paragraph" w:customStyle="1" w:styleId="27">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font01"/>
    <w:qFormat/>
    <w:uiPriority w:val="0"/>
    <w:rPr>
      <w:rFonts w:hint="eastAsia" w:ascii="仿宋_GB2312" w:hAnsi="Times New Roman" w:eastAsia="仿宋_GB2312" w:cs="仿宋_GB2312"/>
      <w:color w:val="000000"/>
      <w:sz w:val="28"/>
      <w:szCs w:val="28"/>
      <w:u w:val="single"/>
    </w:rPr>
  </w:style>
  <w:style w:type="character" w:customStyle="1" w:styleId="29">
    <w:name w:val="font11"/>
    <w:qFormat/>
    <w:uiPriority w:val="0"/>
    <w:rPr>
      <w:rFonts w:hint="eastAsia" w:ascii="仿宋_GB2312" w:hAnsi="Times New Roman" w:eastAsia="仿宋_GB2312" w:cs="仿宋_GB2312"/>
      <w:color w:val="000000"/>
      <w:sz w:val="28"/>
      <w:szCs w:val="28"/>
      <w:u w:val="none"/>
    </w:rPr>
  </w:style>
  <w:style w:type="character" w:customStyle="1" w:styleId="30">
    <w:name w:val="font31"/>
    <w:qFormat/>
    <w:uiPriority w:val="0"/>
    <w:rPr>
      <w:rFonts w:hint="default" w:ascii="Times New Roman" w:hAnsi="Times New Roman" w:eastAsia="仿宋_GB2312" w:cs="Times New Roman"/>
      <w:color w:val="000000"/>
      <w:sz w:val="28"/>
      <w:szCs w:val="28"/>
      <w:u w:val="none"/>
    </w:rPr>
  </w:style>
  <w:style w:type="character" w:customStyle="1" w:styleId="31">
    <w:name w:val="正文 New New Char"/>
    <w:link w:val="13"/>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2024-02-04T03:37:00Z</dcterms:created>
  <dc:creator>赵炎</dc:creator>
  <cp:lastModifiedBy>何昆</cp:lastModifiedBy>
  <dcterms:modified xsi:type="dcterms:W3CDTF">2024-08-08T09:15:13Z</dcterms:modified>
  <dc:title>广东省消费者委员会关于印发《广东省经营者“放心消费承诺”活动规则》和《广东省线下无理由退货承诺指引》的通知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41DA755A9EB548A19A282D462FA7735D</vt:lpwstr>
  </property>
</Properties>
</file>